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5C" w:rsidRPr="003E34D3" w:rsidRDefault="0026155C" w:rsidP="0026155C">
      <w:pPr>
        <w:jc w:val="center"/>
        <w:rPr>
          <w:rFonts w:ascii="Arial" w:hAnsi="Arial"/>
          <w:b/>
          <w:color w:val="002060"/>
          <w:sz w:val="32"/>
          <w:szCs w:val="32"/>
          <w:lang w:val="en-GB"/>
        </w:rPr>
      </w:pPr>
      <w:bookmarkStart w:id="0" w:name="_Toc437242527"/>
      <w:r>
        <w:rPr>
          <w:rFonts w:ascii="Arial" w:hAnsi="Arial" w:cs="Arial"/>
          <w:noProof/>
          <w:rtl/>
        </w:rPr>
        <w:drawing>
          <wp:anchor distT="0" distB="0" distL="114300" distR="114300" simplePos="0" relativeHeight="251660288" behindDoc="0" locked="0" layoutInCell="1" allowOverlap="1">
            <wp:simplePos x="0" y="0"/>
            <wp:positionH relativeFrom="column">
              <wp:posOffset>-506095</wp:posOffset>
            </wp:positionH>
            <wp:positionV relativeFrom="paragraph">
              <wp:posOffset>299720</wp:posOffset>
            </wp:positionV>
            <wp:extent cx="6917055" cy="5394325"/>
            <wp:effectExtent l="0" t="0" r="0" b="0"/>
            <wp:wrapThrough wrapText="bothSides">
              <wp:wrapPolygon edited="0">
                <wp:start x="0" y="0"/>
                <wp:lineTo x="0" y="21511"/>
                <wp:lineTo x="21535" y="21511"/>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7055" cy="539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-296545</wp:posOffset>
                </wp:positionH>
                <wp:positionV relativeFrom="paragraph">
                  <wp:posOffset>1712595</wp:posOffset>
                </wp:positionV>
                <wp:extent cx="6242050" cy="537781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377815"/>
                        </a:xfrm>
                        <a:prstGeom prst="rect">
                          <a:avLst/>
                        </a:prstGeom>
                        <a:noFill/>
                        <a:ln w="9525">
                          <a:noFill/>
                          <a:miter lim="800000"/>
                        </a:ln>
                      </wps:spPr>
                      <wps:txbx>
                        <w:txbxContent>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r>
                              <w:rPr>
                                <w:rFonts w:ascii="Arial" w:hAnsi="Arial" w:cs="Arial"/>
                                <w:b/>
                                <w:color w:val="FFFFFF"/>
                                <w:sz w:val="32"/>
                                <w:szCs w:val="32"/>
                                <w:lang w:val="en-GB"/>
                              </w:rPr>
                              <w:t>BUDGET SUPPORT ROAD SHOW</w:t>
                            </w: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r>
                              <w:rPr>
                                <w:rFonts w:ascii="Arial" w:hAnsi="Arial" w:cs="Arial"/>
                                <w:b/>
                                <w:color w:val="FFFFFF"/>
                                <w:sz w:val="32"/>
                                <w:szCs w:val="32"/>
                                <w:lang w:val="en-GB"/>
                              </w:rPr>
                              <w:t>“Skills for Employment and Social Inclusion Programme”</w:t>
                            </w: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p>
                          <w:p w:rsidR="0026155C" w:rsidRDefault="0026155C" w:rsidP="0026155C">
                            <w:pPr>
                              <w:bidi/>
                              <w:ind w:left="709" w:firstLineChars="444" w:firstLine="1421"/>
                              <w:jc w:val="both"/>
                              <w:rPr>
                                <w:rFonts w:ascii="Arial" w:hAnsi="Arial" w:cs="Arial"/>
                                <w:b/>
                                <w:bCs/>
                                <w:color w:val="FFFFFF"/>
                                <w:sz w:val="32"/>
                                <w:szCs w:val="32"/>
                                <w:rtl/>
                                <w:lang w:bidi="ar-JO"/>
                              </w:rPr>
                            </w:pPr>
                            <w:r>
                              <w:rPr>
                                <w:rFonts w:ascii="Arial" w:hAnsi="Arial" w:cs="Arial" w:hint="cs"/>
                                <w:b/>
                                <w:bCs/>
                                <w:color w:val="FFFFFF"/>
                                <w:sz w:val="32"/>
                                <w:szCs w:val="32"/>
                                <w:rtl/>
                                <w:cs/>
                                <w:lang w:bidi="ar-JO"/>
                              </w:rPr>
                              <w:t>"</w:t>
                            </w:r>
                            <w:r>
                              <w:rPr>
                                <w:rFonts w:ascii="Arial" w:hAnsi="Arial" w:cs="Arial"/>
                                <w:b/>
                                <w:bCs/>
                                <w:color w:val="FFFFFF"/>
                                <w:sz w:val="32"/>
                                <w:szCs w:val="32"/>
                                <w:rtl/>
                                <w:lang w:val="en-GB" w:bidi="ar-JO"/>
                              </w:rPr>
                              <w:t xml:space="preserve">برنامج </w:t>
                            </w:r>
                            <w:r>
                              <w:rPr>
                                <w:rFonts w:ascii="Arial" w:hAnsi="Arial" w:cs="Arial" w:hint="cs"/>
                                <w:b/>
                                <w:bCs/>
                                <w:color w:val="FFFFFF"/>
                                <w:sz w:val="32"/>
                                <w:szCs w:val="32"/>
                                <w:rtl/>
                                <w:lang w:val="en-GB" w:bidi="ar-JO"/>
                              </w:rPr>
                              <w:t>مهارات ا</w:t>
                            </w:r>
                            <w:r>
                              <w:rPr>
                                <w:rFonts w:ascii="Arial" w:hAnsi="Arial" w:cs="Arial"/>
                                <w:b/>
                                <w:bCs/>
                                <w:color w:val="FFFFFF"/>
                                <w:sz w:val="32"/>
                                <w:szCs w:val="32"/>
                                <w:rtl/>
                                <w:lang w:val="en-GB" w:bidi="ar-JO"/>
                              </w:rPr>
                              <w:t xml:space="preserve">لعمل والإندماج </w:t>
                            </w:r>
                            <w:r>
                              <w:rPr>
                                <w:rFonts w:ascii="Arial" w:hAnsi="Arial" w:cs="Arial" w:hint="cs"/>
                                <w:b/>
                                <w:bCs/>
                                <w:color w:val="FFFFFF"/>
                                <w:sz w:val="32"/>
                                <w:szCs w:val="32"/>
                                <w:rtl/>
                                <w:lang w:val="en-GB" w:bidi="ar-JO"/>
                              </w:rPr>
                              <w:t>الإجتماعي</w:t>
                            </w:r>
                            <w:r>
                              <w:rPr>
                                <w:rFonts w:ascii="Arial" w:hAnsi="Arial" w:cs="Arial" w:hint="cs"/>
                                <w:b/>
                                <w:bCs/>
                                <w:color w:val="FFFFFF"/>
                                <w:sz w:val="32"/>
                                <w:szCs w:val="32"/>
                                <w:rtl/>
                                <w:cs/>
                                <w:lang w:bidi="ar-JO"/>
                              </w:rPr>
                              <w:t xml:space="preserve"> "</w:t>
                            </w:r>
                          </w:p>
                          <w:p w:rsidR="0026155C" w:rsidRDefault="0026155C" w:rsidP="0026155C">
                            <w:pPr>
                              <w:jc w:val="center"/>
                              <w:rPr>
                                <w:rFonts w:ascii="Arial" w:hAnsi="Arial" w:cs="Arial"/>
                                <w:b/>
                                <w:bCs/>
                                <w:color w:val="FFFFFF"/>
                                <w:sz w:val="32"/>
                                <w:szCs w:val="32"/>
                                <w:lang w:val="en-GB" w:bidi="ar-JO"/>
                              </w:rPr>
                            </w:pPr>
                          </w:p>
                          <w:p w:rsidR="0026155C" w:rsidRDefault="0026155C" w:rsidP="0026155C">
                            <w:pPr>
                              <w:jc w:val="center"/>
                              <w:rPr>
                                <w:rFonts w:ascii="Arial" w:hAnsi="Arial" w:cs="Arial"/>
                                <w:b/>
                                <w:bCs/>
                                <w:color w:val="FFFFFF"/>
                                <w:sz w:val="32"/>
                                <w:szCs w:val="32"/>
                                <w:lang w:val="en-GB" w:bidi="ar-JO"/>
                              </w:rPr>
                            </w:pPr>
                            <w:r>
                              <w:rPr>
                                <w:rFonts w:ascii="Arial" w:hAnsi="Arial" w:cs="Arial"/>
                                <w:b/>
                                <w:bCs/>
                                <w:color w:val="FFFFFF"/>
                                <w:sz w:val="32"/>
                                <w:szCs w:val="32"/>
                                <w:lang w:val="en-GB" w:bidi="ar-JO"/>
                              </w:rPr>
                              <w:t>Fact Sheet on Budget Support Indicators 3 and 4</w:t>
                            </w:r>
                          </w:p>
                          <w:p w:rsidR="0026155C" w:rsidRDefault="0026155C" w:rsidP="0026155C">
                            <w:pPr>
                              <w:rPr>
                                <w:rFonts w:ascii="Arial" w:hAnsi="Arial" w:cs="Arial"/>
                                <w:b/>
                                <w:bCs/>
                                <w:color w:val="FFFFFF"/>
                                <w:sz w:val="32"/>
                                <w:szCs w:val="32"/>
                                <w:lang w:val="en-GB" w:bidi="ar-JO"/>
                              </w:rPr>
                            </w:pP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center"/>
                              <w:rPr>
                                <w:rFonts w:cs="Arial"/>
                                <w:color w:val="FFFFFF"/>
                                <w:sz w:val="32"/>
                                <w:szCs w:val="32"/>
                              </w:rPr>
                            </w:pPr>
                          </w:p>
                          <w:p w:rsidR="0026155C" w:rsidRPr="00144D0D" w:rsidRDefault="0026155C" w:rsidP="0026155C">
                            <w:pPr>
                              <w:pStyle w:val="Title1"/>
                              <w:spacing w:line="240" w:lineRule="auto"/>
                              <w:jc w:val="center"/>
                              <w:rPr>
                                <w:rFonts w:cs="Arial"/>
                                <w:color w:val="FFFFFF"/>
                                <w:szCs w:val="28"/>
                              </w:rPr>
                            </w:pPr>
                            <w:r w:rsidRPr="00144D0D">
                              <w:rPr>
                                <w:rFonts w:cs="Arial"/>
                                <w:color w:val="FFFFFF"/>
                                <w:szCs w:val="28"/>
                              </w:rPr>
                              <w:t>AQABA</w:t>
                            </w: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center"/>
                              <w:rPr>
                                <w:rFonts w:cs="Arial"/>
                                <w:color w:val="FFFFFF"/>
                                <w:sz w:val="32"/>
                                <w:szCs w:val="32"/>
                              </w:rPr>
                            </w:pPr>
                            <w:r>
                              <w:rPr>
                                <w:rFonts w:cs="Arial"/>
                                <w:color w:val="FFFFFF"/>
                                <w:sz w:val="32"/>
                                <w:szCs w:val="32"/>
                              </w:rPr>
                              <w:t>13 February 2020</w:t>
                            </w: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jc w:val="center"/>
                              <w:rPr>
                                <w:rFonts w:ascii="Arial" w:hAnsi="Arial"/>
                                <w:b/>
                                <w:color w:val="FFFFFF"/>
                                <w:sz w:val="32"/>
                                <w:szCs w:val="32"/>
                                <w:lang w:val="en-GB"/>
                              </w:rPr>
                            </w:pPr>
                          </w:p>
                          <w:p w:rsidR="0026155C" w:rsidRDefault="0026155C" w:rsidP="0026155C">
                            <w:pPr>
                              <w:rPr>
                                <w:color w:val="FFFFFF"/>
                                <w:lang w:val="en-GB"/>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3.35pt;margin-top:134.85pt;width:491.5pt;height:423.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" filled="f" stroked="f">
                <v:textbox style="mso-fit-shape-to-text:t">
                  <w:txbxContent>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r>
                        <w:rPr>
                          <w:rFonts w:ascii="Arial" w:hAnsi="Arial" w:cs="Arial"/>
                          <w:b/>
                          <w:color w:val="FFFFFF"/>
                          <w:sz w:val="32"/>
                          <w:szCs w:val="32"/>
                          <w:lang w:val="en-GB"/>
                        </w:rPr>
                        <w:t>BUDGET SUPPORT ROAD SHOW</w:t>
                      </w: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r>
                        <w:rPr>
                          <w:rFonts w:ascii="Arial" w:hAnsi="Arial" w:cs="Arial"/>
                          <w:b/>
                          <w:color w:val="FFFFFF"/>
                          <w:sz w:val="32"/>
                          <w:szCs w:val="32"/>
                          <w:lang w:val="en-GB"/>
                        </w:rPr>
                        <w:t>“Skills for Employment and Social Inclusion Programme”</w:t>
                      </w:r>
                    </w:p>
                    <w:p w:rsidR="0026155C" w:rsidRDefault="0026155C" w:rsidP="0026155C">
                      <w:pPr>
                        <w:jc w:val="center"/>
                        <w:rPr>
                          <w:rFonts w:ascii="Arial" w:hAnsi="Arial" w:cs="Arial"/>
                          <w:b/>
                          <w:color w:val="FFFFFF"/>
                          <w:sz w:val="32"/>
                          <w:szCs w:val="32"/>
                          <w:lang w:val="en-GB"/>
                        </w:rPr>
                      </w:pPr>
                    </w:p>
                    <w:p w:rsidR="0026155C" w:rsidRDefault="0026155C" w:rsidP="0026155C">
                      <w:pPr>
                        <w:jc w:val="center"/>
                        <w:rPr>
                          <w:rFonts w:ascii="Arial" w:hAnsi="Arial" w:cs="Arial"/>
                          <w:b/>
                          <w:color w:val="FFFFFF"/>
                          <w:sz w:val="32"/>
                          <w:szCs w:val="32"/>
                          <w:lang w:val="en-GB"/>
                        </w:rPr>
                      </w:pPr>
                    </w:p>
                    <w:p w:rsidR="0026155C" w:rsidRDefault="0026155C" w:rsidP="0026155C">
                      <w:pPr>
                        <w:bidi/>
                        <w:ind w:left="709" w:firstLineChars="444" w:firstLine="1421"/>
                        <w:jc w:val="both"/>
                        <w:rPr>
                          <w:rFonts w:ascii="Arial" w:hAnsi="Arial" w:cs="Arial"/>
                          <w:b/>
                          <w:bCs/>
                          <w:color w:val="FFFFFF"/>
                          <w:sz w:val="32"/>
                          <w:szCs w:val="32"/>
                          <w:rtl/>
                          <w:lang w:bidi="ar-JO"/>
                        </w:rPr>
                      </w:pPr>
                      <w:r>
                        <w:rPr>
                          <w:rFonts w:ascii="Arial" w:hAnsi="Arial" w:cs="Arial" w:hint="cs"/>
                          <w:b/>
                          <w:bCs/>
                          <w:color w:val="FFFFFF"/>
                          <w:sz w:val="32"/>
                          <w:szCs w:val="32"/>
                          <w:rtl/>
                          <w:cs/>
                          <w:lang w:bidi="ar-JO"/>
                        </w:rPr>
                        <w:t>"</w:t>
                      </w:r>
                      <w:r>
                        <w:rPr>
                          <w:rFonts w:ascii="Arial" w:hAnsi="Arial" w:cs="Arial"/>
                          <w:b/>
                          <w:bCs/>
                          <w:color w:val="FFFFFF"/>
                          <w:sz w:val="32"/>
                          <w:szCs w:val="32"/>
                          <w:rtl/>
                          <w:lang w:val="en-GB" w:bidi="ar-JO"/>
                        </w:rPr>
                        <w:t xml:space="preserve">برنامج </w:t>
                      </w:r>
                      <w:r>
                        <w:rPr>
                          <w:rFonts w:ascii="Arial" w:hAnsi="Arial" w:cs="Arial" w:hint="cs"/>
                          <w:b/>
                          <w:bCs/>
                          <w:color w:val="FFFFFF"/>
                          <w:sz w:val="32"/>
                          <w:szCs w:val="32"/>
                          <w:rtl/>
                          <w:lang w:val="en-GB" w:bidi="ar-JO"/>
                        </w:rPr>
                        <w:t>مهارات ا</w:t>
                      </w:r>
                      <w:r>
                        <w:rPr>
                          <w:rFonts w:ascii="Arial" w:hAnsi="Arial" w:cs="Arial"/>
                          <w:b/>
                          <w:bCs/>
                          <w:color w:val="FFFFFF"/>
                          <w:sz w:val="32"/>
                          <w:szCs w:val="32"/>
                          <w:rtl/>
                          <w:lang w:val="en-GB" w:bidi="ar-JO"/>
                        </w:rPr>
                        <w:t xml:space="preserve">لعمل والإندماج </w:t>
                      </w:r>
                      <w:r>
                        <w:rPr>
                          <w:rFonts w:ascii="Arial" w:hAnsi="Arial" w:cs="Arial" w:hint="cs"/>
                          <w:b/>
                          <w:bCs/>
                          <w:color w:val="FFFFFF"/>
                          <w:sz w:val="32"/>
                          <w:szCs w:val="32"/>
                          <w:rtl/>
                          <w:lang w:val="en-GB" w:bidi="ar-JO"/>
                        </w:rPr>
                        <w:t>الإجتماعي</w:t>
                      </w:r>
                      <w:r>
                        <w:rPr>
                          <w:rFonts w:ascii="Arial" w:hAnsi="Arial" w:cs="Arial" w:hint="cs"/>
                          <w:b/>
                          <w:bCs/>
                          <w:color w:val="FFFFFF"/>
                          <w:sz w:val="32"/>
                          <w:szCs w:val="32"/>
                          <w:rtl/>
                          <w:cs/>
                          <w:lang w:bidi="ar-JO"/>
                        </w:rPr>
                        <w:t xml:space="preserve"> "</w:t>
                      </w:r>
                    </w:p>
                    <w:p w:rsidR="0026155C" w:rsidRDefault="0026155C" w:rsidP="0026155C">
                      <w:pPr>
                        <w:jc w:val="center"/>
                        <w:rPr>
                          <w:rFonts w:ascii="Arial" w:hAnsi="Arial" w:cs="Arial"/>
                          <w:b/>
                          <w:bCs/>
                          <w:color w:val="FFFFFF"/>
                          <w:sz w:val="32"/>
                          <w:szCs w:val="32"/>
                          <w:lang w:val="en-GB" w:bidi="ar-JO"/>
                        </w:rPr>
                      </w:pPr>
                    </w:p>
                    <w:p w:rsidR="0026155C" w:rsidRDefault="0026155C" w:rsidP="0026155C">
                      <w:pPr>
                        <w:jc w:val="center"/>
                        <w:rPr>
                          <w:rFonts w:ascii="Arial" w:hAnsi="Arial" w:cs="Arial"/>
                          <w:b/>
                          <w:bCs/>
                          <w:color w:val="FFFFFF"/>
                          <w:sz w:val="32"/>
                          <w:szCs w:val="32"/>
                          <w:lang w:val="en-GB" w:bidi="ar-JO"/>
                        </w:rPr>
                      </w:pPr>
                      <w:r>
                        <w:rPr>
                          <w:rFonts w:ascii="Arial" w:hAnsi="Arial" w:cs="Arial"/>
                          <w:b/>
                          <w:bCs/>
                          <w:color w:val="FFFFFF"/>
                          <w:sz w:val="32"/>
                          <w:szCs w:val="32"/>
                          <w:lang w:val="en-GB" w:bidi="ar-JO"/>
                        </w:rPr>
                        <w:t>Fact Sheet on Budget Support Indicators 3 and 4</w:t>
                      </w:r>
                    </w:p>
                    <w:p w:rsidR="0026155C" w:rsidRDefault="0026155C" w:rsidP="0026155C">
                      <w:pPr>
                        <w:rPr>
                          <w:rFonts w:ascii="Arial" w:hAnsi="Arial" w:cs="Arial"/>
                          <w:b/>
                          <w:bCs/>
                          <w:color w:val="FFFFFF"/>
                          <w:sz w:val="32"/>
                          <w:szCs w:val="32"/>
                          <w:lang w:val="en-GB" w:bidi="ar-JO"/>
                        </w:rPr>
                      </w:pP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center"/>
                        <w:rPr>
                          <w:rFonts w:cs="Arial"/>
                          <w:color w:val="FFFFFF"/>
                          <w:sz w:val="32"/>
                          <w:szCs w:val="32"/>
                        </w:rPr>
                      </w:pPr>
                    </w:p>
                    <w:p w:rsidR="0026155C" w:rsidRPr="00144D0D" w:rsidRDefault="0026155C" w:rsidP="0026155C">
                      <w:pPr>
                        <w:pStyle w:val="Title1"/>
                        <w:spacing w:line="240" w:lineRule="auto"/>
                        <w:jc w:val="center"/>
                        <w:rPr>
                          <w:rFonts w:cs="Arial"/>
                          <w:color w:val="FFFFFF"/>
                          <w:szCs w:val="28"/>
                        </w:rPr>
                      </w:pPr>
                      <w:r w:rsidRPr="00144D0D">
                        <w:rPr>
                          <w:rFonts w:cs="Arial"/>
                          <w:color w:val="FFFFFF"/>
                          <w:szCs w:val="28"/>
                        </w:rPr>
                        <w:t>AQABA</w:t>
                      </w: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center"/>
                        <w:rPr>
                          <w:rFonts w:cs="Arial"/>
                          <w:color w:val="FFFFFF"/>
                          <w:sz w:val="32"/>
                          <w:szCs w:val="32"/>
                        </w:rPr>
                      </w:pPr>
                      <w:r>
                        <w:rPr>
                          <w:rFonts w:cs="Arial"/>
                          <w:color w:val="FFFFFF"/>
                          <w:sz w:val="32"/>
                          <w:szCs w:val="32"/>
                        </w:rPr>
                        <w:t>13 February 2020</w:t>
                      </w:r>
                    </w:p>
                    <w:p w:rsidR="0026155C" w:rsidRDefault="0026155C" w:rsidP="0026155C">
                      <w:pPr>
                        <w:pStyle w:val="Title1"/>
                        <w:spacing w:line="240" w:lineRule="auto"/>
                        <w:jc w:val="center"/>
                        <w:rPr>
                          <w:rFonts w:cs="Arial"/>
                          <w:color w:val="FFFFFF"/>
                          <w:sz w:val="32"/>
                          <w:szCs w:val="32"/>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pStyle w:val="Title1"/>
                        <w:spacing w:line="240" w:lineRule="auto"/>
                        <w:jc w:val="left"/>
                        <w:rPr>
                          <w:rFonts w:cs="Arial"/>
                          <w:b w:val="0"/>
                          <w:color w:val="FFFFFF"/>
                          <w:sz w:val="32"/>
                          <w:szCs w:val="32"/>
                          <w:rtl/>
                        </w:rPr>
                      </w:pPr>
                    </w:p>
                    <w:p w:rsidR="0026155C" w:rsidRDefault="0026155C" w:rsidP="0026155C">
                      <w:pPr>
                        <w:jc w:val="center"/>
                        <w:rPr>
                          <w:rFonts w:ascii="Arial" w:hAnsi="Arial"/>
                          <w:b/>
                          <w:color w:val="FFFFFF"/>
                          <w:sz w:val="32"/>
                          <w:szCs w:val="32"/>
                          <w:lang w:val="en-GB"/>
                        </w:rPr>
                      </w:pPr>
                    </w:p>
                    <w:p w:rsidR="0026155C" w:rsidRDefault="0026155C" w:rsidP="0026155C">
                      <w:pPr>
                        <w:rPr>
                          <w:color w:val="FFFFFF"/>
                          <w:lang w:val="en-GB"/>
                        </w:rPr>
                      </w:pPr>
                    </w:p>
                  </w:txbxContent>
                </v:textbox>
                <w10:wrap type="square"/>
              </v:shape>
            </w:pict>
          </mc:Fallback>
        </mc:AlternateContent>
      </w:r>
    </w:p>
    <w:p w:rsidR="0026155C" w:rsidRPr="003E34D3" w:rsidRDefault="0026155C" w:rsidP="0026155C">
      <w:pPr>
        <w:jc w:val="center"/>
        <w:rPr>
          <w:rFonts w:ascii="Arial" w:hAnsi="Arial"/>
          <w:b/>
          <w:color w:val="002060"/>
          <w:sz w:val="32"/>
          <w:szCs w:val="32"/>
          <w:lang w:val="en-GB"/>
        </w:rPr>
      </w:pPr>
    </w:p>
    <w:bookmarkEnd w:id="0"/>
    <w:p w:rsidR="0026155C" w:rsidRPr="003E34D3" w:rsidRDefault="0026155C" w:rsidP="0026155C">
      <w:pPr>
        <w:spacing w:after="160" w:line="259" w:lineRule="auto"/>
        <w:rPr>
          <w:b/>
          <w:color w:val="002060"/>
          <w:sz w:val="22"/>
          <w:szCs w:val="22"/>
          <w:lang w:val="en-GB"/>
        </w:rPr>
      </w:pPr>
    </w:p>
    <w:p w:rsidR="0026155C" w:rsidRPr="003E34D3" w:rsidRDefault="0026155C" w:rsidP="0026155C">
      <w:pPr>
        <w:spacing w:after="200" w:line="276" w:lineRule="auto"/>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893445</wp:posOffset>
                </wp:positionV>
                <wp:extent cx="6233160" cy="276225"/>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76225"/>
                        </a:xfrm>
                        <a:prstGeom prst="rect">
                          <a:avLst/>
                        </a:prstGeom>
                        <a:solidFill>
                          <a:srgbClr val="FFFFFF"/>
                        </a:solidFill>
                        <a:ln w="9525">
                          <a:solidFill>
                            <a:srgbClr val="FFFFFF">
                              <a:lumMod val="100000"/>
                              <a:lumOff val="0"/>
                            </a:srgbClr>
                          </a:solidFill>
                          <a:miter lim="800000"/>
                        </a:ln>
                      </wps:spPr>
                      <wps:txbx>
                        <w:txbxContent>
                          <w:p w:rsidR="0026155C" w:rsidRDefault="0026155C" w:rsidP="0026155C">
                            <w:pPr>
                              <w:rPr>
                                <w:lang w:val="sk-SK"/>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 o:spid="_x0000_s1027" type="#_x0000_t202" style="position:absolute;margin-left:-66.65pt;margin-top:70.35pt;width:490.8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" strokecolor="white">
                <v:textbox style="mso-fit-shape-to-text:t">
                  <w:txbxContent>
                    <w:p w:rsidR="0026155C" w:rsidRDefault="0026155C" w:rsidP="0026155C">
                      <w:pPr>
                        <w:rPr>
                          <w:lang w:val="sk-SK"/>
                        </w:rPr>
                      </w:pPr>
                    </w:p>
                  </w:txbxContent>
                </v:textbox>
              </v:shape>
            </w:pict>
          </mc:Fallback>
        </mc:AlternateContent>
      </w:r>
    </w:p>
    <w:p w:rsidR="0026155C" w:rsidRPr="003E34D3" w:rsidRDefault="0026155C" w:rsidP="0026155C">
      <w:pPr>
        <w:pStyle w:val="Heading1"/>
        <w:rPr>
          <w:rFonts w:ascii="Arial" w:hAnsi="Arial" w:cs="Arial"/>
          <w:sz w:val="26"/>
          <w:szCs w:val="26"/>
        </w:rPr>
      </w:pPr>
      <w:bookmarkStart w:id="1" w:name="_Toc501291839"/>
      <w:bookmarkStart w:id="2" w:name="_Toc501651755"/>
      <w:bookmarkStart w:id="3" w:name="_Toc501975029"/>
      <w:bookmarkStart w:id="4" w:name="_Toc501973963"/>
      <w:bookmarkStart w:id="5" w:name="_Toc502147893"/>
      <w:bookmarkStart w:id="6" w:name="_Toc502141492"/>
      <w:bookmarkStart w:id="7" w:name="_Toc386880750"/>
      <w:bookmarkStart w:id="8" w:name="_Toc501291489"/>
      <w:bookmarkStart w:id="9" w:name="_Toc501541183"/>
      <w:bookmarkStart w:id="10" w:name="_Toc501974172"/>
      <w:bookmarkStart w:id="11" w:name="_Toc386174841"/>
      <w:r w:rsidRPr="003E34D3">
        <w:rPr>
          <w:rFonts w:ascii="Arial" w:hAnsi="Arial" w:cs="Arial"/>
          <w:sz w:val="26"/>
          <w:szCs w:val="26"/>
        </w:rPr>
        <w:lastRenderedPageBreak/>
        <w:t xml:space="preserve">Project synopsis </w:t>
      </w:r>
      <w:bookmarkEnd w:id="1"/>
      <w:bookmarkEnd w:id="2"/>
      <w:bookmarkEnd w:id="3"/>
      <w:bookmarkEnd w:id="4"/>
      <w:bookmarkEnd w:id="5"/>
      <w:bookmarkEnd w:id="6"/>
      <w:bookmarkEnd w:id="7"/>
      <w:bookmarkEnd w:id="8"/>
      <w:bookmarkEnd w:id="9"/>
      <w:bookmarkEnd w:id="10"/>
      <w:bookmarkEnd w:id="11"/>
    </w:p>
    <w:p w:rsidR="0026155C" w:rsidRPr="003E34D3" w:rsidRDefault="0026155C" w:rsidP="0026155C">
      <w:pPr>
        <w:rPr>
          <w:rFonts w:ascii="Arial" w:hAnsi="Arial"/>
          <w:sz w:val="20"/>
          <w:szCs w:val="20"/>
          <w:lang w:val="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9"/>
        <w:gridCol w:w="2491"/>
        <w:gridCol w:w="4256"/>
      </w:tblGrid>
      <w:tr w:rsidR="0026155C" w:rsidRPr="003E34D3" w:rsidTr="002F3F88">
        <w:trPr>
          <w:cantSplit/>
          <w:trHeight w:val="511"/>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br w:type="page"/>
            </w:r>
            <w:r w:rsidRPr="003E34D3">
              <w:rPr>
                <w:rFonts w:ascii="Arial" w:hAnsi="Arial" w:cs="Arial"/>
                <w:b/>
                <w:sz w:val="20"/>
                <w:szCs w:val="20"/>
                <w:lang w:val="en-GB"/>
              </w:rPr>
              <w:br w:type="page"/>
              <w:t>Project Title</w:t>
            </w:r>
          </w:p>
        </w:tc>
        <w:tc>
          <w:tcPr>
            <w:tcW w:w="2347" w:type="pct"/>
            <w:tcMar>
              <w:top w:w="0" w:type="dxa"/>
              <w:left w:w="108" w:type="dxa"/>
              <w:bottom w:w="0" w:type="dxa"/>
              <w:right w:w="108" w:type="dxa"/>
            </w:tcMar>
            <w:vAlign w:val="center"/>
          </w:tcPr>
          <w:p w:rsidR="0026155C" w:rsidRPr="003E34D3" w:rsidRDefault="0026155C" w:rsidP="002F3F88">
            <w:pPr>
              <w:rPr>
                <w:rFonts w:ascii="Arial" w:hAnsi="Arial" w:cs="Arial"/>
                <w:bCs/>
                <w:sz w:val="20"/>
                <w:szCs w:val="20"/>
                <w:lang w:val="en-GB"/>
              </w:rPr>
            </w:pPr>
            <w:bookmarkStart w:id="12" w:name="ProjectName"/>
            <w:r w:rsidRPr="003E34D3">
              <w:rPr>
                <w:rFonts w:ascii="Arial" w:eastAsia="MS Mincho" w:hAnsi="Arial" w:cs="Arial"/>
                <w:bCs/>
                <w:sz w:val="20"/>
                <w:szCs w:val="20"/>
                <w:lang w:val="en-GB" w:eastAsia="ja-JP"/>
              </w:rPr>
              <w:t>Budget Support Skills for Employment and Social Inclusion</w:t>
            </w:r>
            <w:bookmarkEnd w:id="12"/>
          </w:p>
        </w:tc>
      </w:tr>
      <w:tr w:rsidR="0026155C" w:rsidRPr="003E34D3" w:rsidTr="002F3F88">
        <w:trPr>
          <w:cantSplit/>
          <w:trHeight w:val="392"/>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bCs/>
                <w:sz w:val="20"/>
                <w:szCs w:val="20"/>
                <w:lang w:val="en-GB"/>
              </w:rPr>
              <w:t>Organization responsible for implémentation</w:t>
            </w:r>
          </w:p>
        </w:tc>
        <w:tc>
          <w:tcPr>
            <w:tcW w:w="2347" w:type="pct"/>
            <w:tcMar>
              <w:top w:w="0" w:type="dxa"/>
              <w:left w:w="108" w:type="dxa"/>
              <w:bottom w:w="0" w:type="dxa"/>
              <w:right w:w="108" w:type="dxa"/>
            </w:tcMar>
          </w:tcPr>
          <w:p w:rsidR="0026155C" w:rsidRPr="003E34D3" w:rsidRDefault="0026155C" w:rsidP="002F3F88">
            <w:pPr>
              <w:rPr>
                <w:rFonts w:ascii="Arial" w:hAnsi="Arial" w:cs="Arial"/>
                <w:bCs/>
                <w:sz w:val="20"/>
                <w:szCs w:val="20"/>
                <w:lang w:val="en-GB"/>
              </w:rPr>
            </w:pPr>
            <w:r w:rsidRPr="003E34D3">
              <w:rPr>
                <w:rFonts w:ascii="Arial" w:eastAsia="MS Mincho" w:hAnsi="Arial" w:cs="Arial"/>
                <w:bCs/>
                <w:sz w:val="20"/>
                <w:szCs w:val="20"/>
                <w:lang w:val="en-GB" w:eastAsia="ja-JP"/>
              </w:rPr>
              <w:t>ETVET Council and its Secretariat</w:t>
            </w:r>
          </w:p>
        </w:tc>
      </w:tr>
      <w:tr w:rsidR="0026155C" w:rsidRPr="003E34D3" w:rsidTr="002F3F88">
        <w:trPr>
          <w:cantSplit/>
          <w:trHeight w:val="412"/>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bCs/>
                <w:sz w:val="20"/>
                <w:szCs w:val="20"/>
                <w:lang w:val="en-GB"/>
              </w:rPr>
              <w:t>Organization (s) partenaire (s)</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Ministries of Labour, Education, Higher Education and Scientific Research, Social Development, planning, Finance and other related institutions</w:t>
            </w:r>
          </w:p>
        </w:tc>
      </w:tr>
      <w:tr w:rsidR="0026155C" w:rsidRPr="003E34D3" w:rsidTr="002F3F88">
        <w:trPr>
          <w:cantSplit/>
          <w:trHeight w:val="404"/>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bCs/>
                <w:sz w:val="20"/>
                <w:szCs w:val="20"/>
                <w:lang w:val="en-GB"/>
              </w:rPr>
              <w:t>Implementation period</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48 months</w:t>
            </w:r>
          </w:p>
        </w:tc>
      </w:tr>
      <w:tr w:rsidR="0026155C" w:rsidRPr="003E34D3" w:rsidTr="002F3F88">
        <w:trPr>
          <w:cantSplit/>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Country</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Hashemite Kingdom of Jordan</w:t>
            </w:r>
          </w:p>
        </w:tc>
      </w:tr>
      <w:tr w:rsidR="0026155C" w:rsidRPr="003E34D3" w:rsidTr="002F3F88">
        <w:trPr>
          <w:cantSplit/>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Date of signature</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08 November 2015</w:t>
            </w:r>
          </w:p>
        </w:tc>
      </w:tr>
      <w:tr w:rsidR="0026155C" w:rsidRPr="003E34D3" w:rsidTr="002F3F88">
        <w:trPr>
          <w:cantSplit/>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UE Contribution</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€ 52 million of which 9 million of complementary support</w:t>
            </w:r>
          </w:p>
        </w:tc>
      </w:tr>
      <w:tr w:rsidR="0026155C" w:rsidRPr="003E34D3" w:rsidTr="002F3F88">
        <w:trPr>
          <w:cantSplit/>
        </w:trPr>
        <w:tc>
          <w:tcPr>
            <w:tcW w:w="2653" w:type="pct"/>
            <w:gridSpan w:val="2"/>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Programme contact (address/email/web site)</w:t>
            </w:r>
          </w:p>
        </w:tc>
        <w:tc>
          <w:tcPr>
            <w:tcW w:w="2347" w:type="pct"/>
            <w:tcMar>
              <w:top w:w="0" w:type="dxa"/>
              <w:left w:w="108" w:type="dxa"/>
              <w:bottom w:w="0" w:type="dxa"/>
              <w:right w:w="108" w:type="dxa"/>
            </w:tcMar>
          </w:tcPr>
          <w:p w:rsidR="0026155C" w:rsidRPr="003E34D3" w:rsidRDefault="0026155C" w:rsidP="002F3F88">
            <w:pPr>
              <w:rPr>
                <w:rFonts w:ascii="Arial" w:hAnsi="Arial" w:cs="Arial"/>
                <w:sz w:val="20"/>
                <w:szCs w:val="20"/>
                <w:lang w:val="en-GB"/>
              </w:rPr>
            </w:pPr>
            <w:r w:rsidRPr="003E34D3">
              <w:rPr>
                <w:rFonts w:ascii="Arial" w:hAnsi="Arial" w:cs="Arial"/>
                <w:sz w:val="20"/>
                <w:szCs w:val="20"/>
                <w:lang w:val="en-GB"/>
              </w:rPr>
              <w:t>Ministry of Planning and International Cooperation Jordan</w:t>
            </w:r>
          </w:p>
        </w:tc>
      </w:tr>
      <w:tr w:rsidR="0026155C" w:rsidRPr="003E34D3" w:rsidTr="002F3F88">
        <w:trPr>
          <w:trHeight w:val="274"/>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Context</w:t>
            </w:r>
          </w:p>
        </w:tc>
        <w:tc>
          <w:tcPr>
            <w:tcW w:w="3721" w:type="pct"/>
            <w:gridSpan w:val="2"/>
            <w:tcMar>
              <w:top w:w="0" w:type="dxa"/>
              <w:left w:w="108" w:type="dxa"/>
              <w:bottom w:w="0" w:type="dxa"/>
              <w:right w:w="108" w:type="dxa"/>
            </w:tcMar>
          </w:tcPr>
          <w:p w:rsidR="0026155C" w:rsidRPr="003E34D3" w:rsidRDefault="0026155C" w:rsidP="002F3F88">
            <w:pPr>
              <w:jc w:val="both"/>
              <w:rPr>
                <w:rFonts w:ascii="Arial" w:hAnsi="Arial" w:cs="Arial"/>
                <w:sz w:val="20"/>
                <w:szCs w:val="20"/>
                <w:lang w:val="en-GB"/>
              </w:rPr>
            </w:pPr>
            <w:r w:rsidRPr="003E34D3">
              <w:rPr>
                <w:rFonts w:ascii="Arial" w:hAnsi="Arial" w:cs="Arial"/>
                <w:sz w:val="20"/>
                <w:szCs w:val="20"/>
                <w:lang w:val="en-GB"/>
              </w:rPr>
              <w:t>The proposed new programme is in line with the National Employment Strategy 2011-20 which focuses on employment growth, increased involvement of youth and women in the labour market, and stronger participation of the social partners. The EU assistance in the field of employment and human resource development is complemented by its programme in support of the private sector development. Further assistance in both fields is foreseen within the Single Support Framework 2014-17 under the second focal area aiming at promoting employment and private sector development.</w:t>
            </w:r>
          </w:p>
          <w:p w:rsidR="0026155C" w:rsidRPr="003E34D3" w:rsidRDefault="0026155C" w:rsidP="002F3F88">
            <w:pPr>
              <w:jc w:val="both"/>
              <w:rPr>
                <w:rFonts w:ascii="Arial" w:hAnsi="Arial" w:cs="Arial"/>
                <w:sz w:val="20"/>
                <w:szCs w:val="20"/>
                <w:lang w:val="en-GB"/>
              </w:rPr>
            </w:pPr>
          </w:p>
          <w:p w:rsidR="0026155C" w:rsidRPr="003E34D3" w:rsidRDefault="0026155C" w:rsidP="002F3F88">
            <w:pPr>
              <w:jc w:val="both"/>
              <w:rPr>
                <w:rFonts w:ascii="Arial" w:hAnsi="Arial" w:cs="Arial"/>
                <w:sz w:val="20"/>
                <w:szCs w:val="20"/>
                <w:lang w:val="en-GB"/>
              </w:rPr>
            </w:pPr>
            <w:r w:rsidRPr="003E34D3">
              <w:rPr>
                <w:rFonts w:ascii="Arial" w:hAnsi="Arial" w:cs="Arial"/>
                <w:sz w:val="20"/>
                <w:szCs w:val="20"/>
                <w:lang w:val="en-GB"/>
              </w:rPr>
              <w:t>In this programme design, lessons learned from the on-going budget support to the Employment and Technical and Vocational Education and Training (ETVET) reforms were taken into consideration and a broad acceptance of the key sector stakeholders that investment in an effective ETVET sector contributes to economic growth and social cohesion. There is a strong preference of the government for the budget support modality, which in case of this sector should have a high leverage on the development.</w:t>
            </w: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Objectives</w:t>
            </w:r>
          </w:p>
        </w:tc>
        <w:tc>
          <w:tcPr>
            <w:tcW w:w="3721" w:type="pct"/>
            <w:gridSpan w:val="2"/>
            <w:tcMar>
              <w:top w:w="0" w:type="dxa"/>
              <w:left w:w="108" w:type="dxa"/>
              <w:bottom w:w="0" w:type="dxa"/>
              <w:right w:w="108" w:type="dxa"/>
            </w:tcMar>
          </w:tcPr>
          <w:p w:rsidR="0026155C" w:rsidRPr="003E34D3" w:rsidRDefault="0026155C" w:rsidP="002F3F88">
            <w:pPr>
              <w:rPr>
                <w:rFonts w:ascii="Arial" w:hAnsi="Arial" w:cs="Arial"/>
                <w:bCs/>
                <w:sz w:val="20"/>
                <w:szCs w:val="20"/>
                <w:lang w:val="en-GB"/>
              </w:rPr>
            </w:pPr>
            <w:r w:rsidRPr="003E34D3">
              <w:rPr>
                <w:rFonts w:ascii="Arial" w:hAnsi="Arial" w:cs="Arial"/>
                <w:bCs/>
                <w:sz w:val="20"/>
                <w:szCs w:val="20"/>
                <w:lang w:val="en-GB"/>
              </w:rPr>
              <w:t>The specific objectives of programme are the following:</w:t>
            </w:r>
          </w:p>
          <w:p w:rsidR="0026155C" w:rsidRPr="003E34D3" w:rsidRDefault="0026155C" w:rsidP="002F3F88">
            <w:pPr>
              <w:rPr>
                <w:rFonts w:ascii="Arial" w:hAnsi="Arial" w:cs="Arial"/>
                <w:bCs/>
                <w:sz w:val="20"/>
                <w:szCs w:val="20"/>
                <w:lang w:val="en-GB"/>
              </w:rPr>
            </w:pPr>
            <w:r w:rsidRPr="003E34D3">
              <w:rPr>
                <w:rFonts w:ascii="Arial" w:hAnsi="Arial" w:cs="Arial"/>
                <w:bCs/>
                <w:sz w:val="20"/>
                <w:szCs w:val="20"/>
                <w:lang w:val="en-GB"/>
              </w:rPr>
              <w:t xml:space="preserve"> </w:t>
            </w:r>
          </w:p>
          <w:p w:rsidR="0026155C" w:rsidRPr="003E34D3" w:rsidRDefault="0026155C" w:rsidP="0026155C">
            <w:pPr>
              <w:pStyle w:val="ListParagraph"/>
              <w:numPr>
                <w:ilvl w:val="0"/>
                <w:numId w:val="1"/>
              </w:numPr>
              <w:jc w:val="both"/>
              <w:rPr>
                <w:rFonts w:ascii="Arial" w:hAnsi="Arial"/>
                <w:bCs/>
                <w:sz w:val="20"/>
                <w:szCs w:val="20"/>
              </w:rPr>
            </w:pPr>
            <w:r w:rsidRPr="003E34D3">
              <w:rPr>
                <w:rFonts w:ascii="Arial" w:hAnsi="Arial"/>
                <w:bCs/>
                <w:sz w:val="20"/>
                <w:szCs w:val="20"/>
              </w:rPr>
              <w:t xml:space="preserve">To support policy making, planning and financial resource allocation in a coordinated way across different line ministries: Ministry of Education (MoE), Ministry of Labour (MoL), Ministry of Higher Education (MoHE), Ministry of Social Development (MoSD), other institutions of the Technical and Vocational Education and Training (TVET) system and social partners. </w:t>
            </w:r>
          </w:p>
          <w:p w:rsidR="0026155C" w:rsidRPr="003E34D3" w:rsidRDefault="0026155C" w:rsidP="0026155C">
            <w:pPr>
              <w:pStyle w:val="ListParagraph"/>
              <w:numPr>
                <w:ilvl w:val="0"/>
                <w:numId w:val="1"/>
              </w:numPr>
              <w:jc w:val="both"/>
              <w:rPr>
                <w:rFonts w:ascii="Arial" w:hAnsi="Arial"/>
                <w:bCs/>
                <w:sz w:val="20"/>
                <w:szCs w:val="20"/>
              </w:rPr>
            </w:pPr>
            <w:r w:rsidRPr="003E34D3">
              <w:rPr>
                <w:rFonts w:ascii="Arial" w:hAnsi="Arial"/>
                <w:bCs/>
                <w:sz w:val="20"/>
                <w:szCs w:val="20"/>
              </w:rPr>
              <w:t>To improve relevance, quality, effectiveness and attractiveness of technical and vocational education and training for employability.</w:t>
            </w:r>
          </w:p>
          <w:p w:rsidR="0026155C" w:rsidRPr="003E34D3" w:rsidRDefault="0026155C" w:rsidP="0026155C">
            <w:pPr>
              <w:pStyle w:val="ListParagraph"/>
              <w:numPr>
                <w:ilvl w:val="0"/>
                <w:numId w:val="1"/>
              </w:numPr>
              <w:jc w:val="both"/>
              <w:rPr>
                <w:rFonts w:ascii="Arial" w:hAnsi="Arial"/>
                <w:bCs/>
                <w:sz w:val="20"/>
                <w:szCs w:val="20"/>
              </w:rPr>
            </w:pPr>
            <w:r w:rsidRPr="003E34D3">
              <w:rPr>
                <w:rFonts w:ascii="Arial" w:hAnsi="Arial"/>
                <w:bCs/>
                <w:sz w:val="20"/>
                <w:szCs w:val="20"/>
              </w:rPr>
              <w:t xml:space="preserve">To increase the number of people in education and training and other Active Labour Market Measures (ALMMs), in particular women, youth and people with disabilities. </w:t>
            </w:r>
          </w:p>
          <w:p w:rsidR="0026155C" w:rsidRDefault="0026155C" w:rsidP="0026155C">
            <w:pPr>
              <w:pStyle w:val="ListParagraph"/>
              <w:numPr>
                <w:ilvl w:val="0"/>
                <w:numId w:val="1"/>
              </w:numPr>
              <w:jc w:val="both"/>
              <w:rPr>
                <w:rFonts w:ascii="Arial" w:hAnsi="Arial"/>
                <w:bCs/>
                <w:sz w:val="20"/>
                <w:szCs w:val="20"/>
              </w:rPr>
            </w:pPr>
            <w:r w:rsidRPr="003E34D3">
              <w:rPr>
                <w:rFonts w:ascii="Arial" w:hAnsi="Arial"/>
                <w:bCs/>
                <w:sz w:val="20"/>
                <w:szCs w:val="20"/>
              </w:rPr>
              <w:t>To enhance the role of social partners and civil society organisations in promoting employment and human resource development</w:t>
            </w:r>
          </w:p>
          <w:p w:rsidR="0026155C" w:rsidRDefault="0026155C" w:rsidP="002F3F88">
            <w:pPr>
              <w:pStyle w:val="ListParagraph"/>
              <w:ind w:left="360"/>
              <w:jc w:val="both"/>
              <w:rPr>
                <w:rFonts w:ascii="Arial" w:hAnsi="Arial"/>
                <w:bCs/>
                <w:sz w:val="20"/>
                <w:szCs w:val="20"/>
                <w:rtl/>
              </w:rPr>
            </w:pPr>
          </w:p>
          <w:p w:rsidR="0026155C" w:rsidRPr="003E34D3" w:rsidRDefault="0026155C" w:rsidP="002F3F88">
            <w:pPr>
              <w:pStyle w:val="ListParagraph"/>
              <w:ind w:left="360"/>
              <w:jc w:val="both"/>
              <w:rPr>
                <w:rFonts w:ascii="Arial" w:hAnsi="Arial"/>
                <w:bCs/>
                <w:sz w:val="20"/>
                <w:szCs w:val="20"/>
              </w:rPr>
            </w:pP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lastRenderedPageBreak/>
              <w:t>Results (Objective 1):</w:t>
            </w:r>
          </w:p>
        </w:tc>
        <w:tc>
          <w:tcPr>
            <w:tcW w:w="3721" w:type="pct"/>
            <w:gridSpan w:val="2"/>
            <w:tcMar>
              <w:top w:w="0" w:type="dxa"/>
              <w:left w:w="108" w:type="dxa"/>
              <w:bottom w:w="0" w:type="dxa"/>
              <w:right w:w="108" w:type="dxa"/>
            </w:tcMar>
            <w:vAlign w:val="center"/>
          </w:tcPr>
          <w:p w:rsidR="0026155C" w:rsidRDefault="0026155C" w:rsidP="0026155C">
            <w:pPr>
              <w:pStyle w:val="ListParagraph"/>
              <w:numPr>
                <w:ilvl w:val="0"/>
                <w:numId w:val="2"/>
              </w:numPr>
              <w:jc w:val="both"/>
              <w:rPr>
                <w:rFonts w:ascii="Arial" w:hAnsi="Arial"/>
                <w:bCs/>
                <w:sz w:val="20"/>
                <w:szCs w:val="20"/>
              </w:rPr>
            </w:pPr>
            <w:r w:rsidRPr="003E34D3">
              <w:rPr>
                <w:rFonts w:ascii="Arial" w:hAnsi="Arial"/>
                <w:bCs/>
                <w:sz w:val="20"/>
                <w:szCs w:val="20"/>
              </w:rPr>
              <w:t xml:space="preserve">Cross-sectoral mechanisms for policy making, planning, performance-based financing, monitoring and evaluation to support employment and human resource development are enhanced. </w:t>
            </w:r>
          </w:p>
          <w:p w:rsidR="0026155C" w:rsidRPr="003E34D3" w:rsidRDefault="0026155C" w:rsidP="002F3F88">
            <w:pPr>
              <w:pStyle w:val="ListParagraph"/>
              <w:ind w:left="360"/>
              <w:jc w:val="both"/>
              <w:rPr>
                <w:rFonts w:ascii="Arial" w:hAnsi="Arial"/>
                <w:bCs/>
                <w:sz w:val="20"/>
                <w:szCs w:val="20"/>
              </w:rPr>
            </w:pPr>
          </w:p>
          <w:p w:rsidR="0026155C" w:rsidRPr="003E34D3" w:rsidRDefault="0026155C" w:rsidP="0026155C">
            <w:pPr>
              <w:pStyle w:val="ListParagraph"/>
              <w:numPr>
                <w:ilvl w:val="0"/>
                <w:numId w:val="2"/>
              </w:numPr>
              <w:jc w:val="both"/>
              <w:rPr>
                <w:rFonts w:ascii="Arial" w:hAnsi="Arial"/>
                <w:bCs/>
                <w:sz w:val="20"/>
                <w:szCs w:val="20"/>
              </w:rPr>
            </w:pPr>
            <w:r w:rsidRPr="003E34D3">
              <w:rPr>
                <w:rFonts w:ascii="Arial" w:hAnsi="Arial"/>
                <w:bCs/>
                <w:sz w:val="20"/>
                <w:szCs w:val="20"/>
              </w:rPr>
              <w:t>The cross-sectoral mandate of the TVET Council and its secretariat is legally empowered, enhanced and its capacities further developed (incl. result-oriented budgeting).</w:t>
            </w:r>
          </w:p>
          <w:p w:rsidR="0026155C" w:rsidRPr="003E34D3" w:rsidRDefault="0026155C" w:rsidP="0026155C">
            <w:pPr>
              <w:pStyle w:val="ListParagraph"/>
              <w:numPr>
                <w:ilvl w:val="0"/>
                <w:numId w:val="2"/>
              </w:numPr>
              <w:jc w:val="both"/>
              <w:rPr>
                <w:rFonts w:ascii="Arial" w:hAnsi="Arial"/>
                <w:bCs/>
                <w:sz w:val="20"/>
                <w:szCs w:val="20"/>
              </w:rPr>
            </w:pPr>
            <w:r w:rsidRPr="003E34D3">
              <w:rPr>
                <w:rFonts w:ascii="Arial" w:hAnsi="Arial"/>
                <w:bCs/>
                <w:sz w:val="20"/>
                <w:szCs w:val="20"/>
              </w:rPr>
              <w:t>Coherence between the TVET system, the labour market demand and the socio- economic growth policies is improved.</w:t>
            </w:r>
          </w:p>
          <w:p w:rsidR="0026155C" w:rsidRPr="003E34D3" w:rsidRDefault="0026155C" w:rsidP="0026155C">
            <w:pPr>
              <w:pStyle w:val="ListParagraph"/>
              <w:numPr>
                <w:ilvl w:val="0"/>
                <w:numId w:val="2"/>
              </w:numPr>
              <w:jc w:val="both"/>
              <w:rPr>
                <w:rFonts w:ascii="Arial" w:hAnsi="Arial"/>
                <w:bCs/>
                <w:sz w:val="20"/>
                <w:szCs w:val="20"/>
              </w:rPr>
            </w:pPr>
            <w:r w:rsidRPr="003E34D3">
              <w:rPr>
                <w:rFonts w:ascii="Arial" w:hAnsi="Arial"/>
                <w:bCs/>
                <w:sz w:val="20"/>
                <w:szCs w:val="20"/>
              </w:rPr>
              <w:t xml:space="preserve">Enhanced tripartite dialogue between the Ministry of Labour, the TVET Council and Social Partners (Chamber of Industry (JCI), the Jordan Chamber of Commerce (JOCC) and the General Federation of Jordanian Trade Unions (GFJTU) ) are fully integrated in the governance of the TVET system and the related legislation/regulations is revised to reflect clearly their role. </w:t>
            </w:r>
          </w:p>
          <w:p w:rsidR="0026155C" w:rsidRPr="003E34D3" w:rsidRDefault="0026155C" w:rsidP="0026155C">
            <w:pPr>
              <w:pStyle w:val="ListParagraph"/>
              <w:numPr>
                <w:ilvl w:val="0"/>
                <w:numId w:val="2"/>
              </w:numPr>
              <w:jc w:val="both"/>
              <w:rPr>
                <w:rFonts w:ascii="Arial" w:hAnsi="Arial"/>
                <w:sz w:val="20"/>
                <w:szCs w:val="20"/>
              </w:rPr>
            </w:pPr>
            <w:r w:rsidRPr="003E34D3">
              <w:rPr>
                <w:rFonts w:ascii="Arial" w:hAnsi="Arial"/>
                <w:bCs/>
                <w:sz w:val="20"/>
                <w:szCs w:val="20"/>
              </w:rPr>
              <w:t>An attractive model for employer financing based learning is elaborated</w:t>
            </w:r>
            <w:r w:rsidRPr="003E34D3">
              <w:rPr>
                <w:rFonts w:ascii="Arial" w:hAnsi="Arial"/>
                <w:sz w:val="20"/>
                <w:szCs w:val="20"/>
                <w:lang w:eastAsia="zh-CN"/>
              </w:rPr>
              <w:t>.</w:t>
            </w: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Results (Objective 2):</w:t>
            </w:r>
          </w:p>
        </w:tc>
        <w:tc>
          <w:tcPr>
            <w:tcW w:w="3721" w:type="pct"/>
            <w:gridSpan w:val="2"/>
            <w:tcMar>
              <w:top w:w="0" w:type="dxa"/>
              <w:left w:w="108" w:type="dxa"/>
              <w:bottom w:w="0" w:type="dxa"/>
              <w:right w:w="108" w:type="dxa"/>
            </w:tcMar>
            <w:vAlign w:val="center"/>
          </w:tcPr>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Technical stream of the higher education, vocational stream of secondary education and vocational training are reformed in close cooperation with social partners involved in economic sector teams and advisory committees for education and training programmes. Those include development of demand driven programmes, mainstreaming of core skills such as entrepreneurial learning, capacity development of management and teachers, up-grading of equipment and maintenance of facilities.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A framework of technical and vocational qualifications, allowing for recognition of all forms of learning and skills development is set up and operational and establishment of links between qualification frameworks of secondary, vocational and higher education are ensured within the TVET system.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Common accreditation principles and approaches for the whole TVET sector are developed.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Curricula responding to the needs of the economy, the society and individuals in line with international good practices are set, and broad spectrum of courses are developed.</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An inclusive approach to the non-formal economic sectors (i.e. access to active labour market programmes and recognition of all forms of learning) is established. Continuous technical and vocational education and training is developed and improved for both formally and informally employed and unemployed. </w:t>
            </w:r>
          </w:p>
          <w:p w:rsidR="0026155C" w:rsidRPr="003E34D3" w:rsidRDefault="0026155C" w:rsidP="002F3F88">
            <w:pPr>
              <w:ind w:left="805" w:hanging="425"/>
              <w:jc w:val="both"/>
              <w:rPr>
                <w:rFonts w:ascii="Arial" w:eastAsia="Calibri" w:hAnsi="Arial" w:cs="Arial"/>
                <w:bCs/>
                <w:sz w:val="20"/>
                <w:szCs w:val="20"/>
                <w:lang w:val="en-GB"/>
              </w:rPr>
            </w:pP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Results (Objective 3):</w:t>
            </w:r>
          </w:p>
        </w:tc>
        <w:tc>
          <w:tcPr>
            <w:tcW w:w="3721" w:type="pct"/>
            <w:gridSpan w:val="2"/>
            <w:tcMar>
              <w:top w:w="0" w:type="dxa"/>
              <w:left w:w="108" w:type="dxa"/>
              <w:bottom w:w="0" w:type="dxa"/>
              <w:right w:w="108" w:type="dxa"/>
            </w:tcMar>
            <w:vAlign w:val="center"/>
          </w:tcPr>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Administrative arrangements and fiscal incentives in place to support employment, education and training - including for women, youth and people with special needs are revised.</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Cost effective Active Labour Market Measures "ALMM" (such as training and career guidance, job search assistance, labour market training) are implemented for disadvantaged target groups and regions– and delivered by state and non-state actors across the formal and informal economies.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The number of ALMM groups for disadvantage people is increased.</w:t>
            </w:r>
          </w:p>
          <w:p w:rsidR="0026155C" w:rsidRPr="003E34D3" w:rsidRDefault="0026155C" w:rsidP="0026155C">
            <w:pPr>
              <w:pStyle w:val="ListParagraph"/>
              <w:numPr>
                <w:ilvl w:val="0"/>
                <w:numId w:val="3"/>
              </w:numPr>
              <w:jc w:val="both"/>
              <w:rPr>
                <w:rFonts w:ascii="Arial" w:hAnsi="Arial"/>
                <w:sz w:val="20"/>
                <w:szCs w:val="20"/>
                <w:lang w:eastAsia="zh-CN"/>
              </w:rPr>
            </w:pPr>
            <w:r w:rsidRPr="003E34D3">
              <w:rPr>
                <w:rFonts w:ascii="Arial" w:hAnsi="Arial"/>
                <w:bCs/>
                <w:sz w:val="20"/>
                <w:szCs w:val="20"/>
              </w:rPr>
              <w:t xml:space="preserve">Linkages between the employment, social protection and micro-finance services are developed and improved, focusing on </w:t>
            </w:r>
            <w:r w:rsidRPr="003E34D3">
              <w:rPr>
                <w:rFonts w:ascii="Arial" w:hAnsi="Arial"/>
                <w:bCs/>
                <w:sz w:val="20"/>
                <w:szCs w:val="20"/>
              </w:rPr>
              <w:lastRenderedPageBreak/>
              <w:t>disadvantaged groups such as people with disabilities (PWDs), and long-term economically inactive people depending on cash assistance.</w:t>
            </w: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lastRenderedPageBreak/>
              <w:t>Indicators and Benchmarks</w:t>
            </w:r>
          </w:p>
        </w:tc>
        <w:tc>
          <w:tcPr>
            <w:tcW w:w="3721" w:type="pct"/>
            <w:gridSpan w:val="2"/>
            <w:tcMar>
              <w:top w:w="0" w:type="dxa"/>
              <w:left w:w="108" w:type="dxa"/>
              <w:bottom w:w="0" w:type="dxa"/>
              <w:right w:w="108" w:type="dxa"/>
            </w:tcMar>
            <w:vAlign w:val="center"/>
          </w:tcPr>
          <w:p w:rsidR="0026155C" w:rsidRPr="003E34D3" w:rsidRDefault="0026155C" w:rsidP="002F3F88">
            <w:pPr>
              <w:spacing w:before="120" w:after="120"/>
              <w:ind w:left="805" w:hanging="425"/>
              <w:jc w:val="both"/>
              <w:rPr>
                <w:rFonts w:ascii="Arial" w:hAnsi="Arial" w:cs="Arial"/>
                <w:b/>
                <w:bCs/>
                <w:sz w:val="20"/>
                <w:szCs w:val="20"/>
                <w:lang w:val="en-GB" w:eastAsia="zh-CN"/>
              </w:rPr>
            </w:pPr>
            <w:r w:rsidRPr="003E34D3">
              <w:rPr>
                <w:rFonts w:ascii="Arial" w:hAnsi="Arial" w:cs="Arial"/>
                <w:b/>
                <w:bCs/>
                <w:sz w:val="20"/>
                <w:szCs w:val="20"/>
                <w:lang w:val="en-GB" w:eastAsia="zh-CN"/>
              </w:rPr>
              <w:t>Achievements</w:t>
            </w: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Indicator 3:</w:t>
            </w:r>
          </w:p>
          <w:p w:rsidR="0026155C" w:rsidRPr="003E34D3" w:rsidRDefault="0026155C" w:rsidP="002F3F88">
            <w:pPr>
              <w:rPr>
                <w:rFonts w:ascii="Arial" w:hAnsi="Arial" w:cs="Arial"/>
                <w:b/>
                <w:sz w:val="20"/>
                <w:szCs w:val="20"/>
                <w:lang w:val="en-GB"/>
              </w:rPr>
            </w:pPr>
          </w:p>
          <w:p w:rsidR="0026155C" w:rsidRPr="003E34D3" w:rsidRDefault="0026155C" w:rsidP="002F3F88">
            <w:pPr>
              <w:rPr>
                <w:rFonts w:ascii="Arial" w:hAnsi="Arial" w:cs="Arial"/>
                <w:bCs/>
                <w:sz w:val="20"/>
                <w:szCs w:val="20"/>
                <w:lang w:val="en-GB"/>
              </w:rPr>
            </w:pPr>
            <w:r w:rsidRPr="003E34D3">
              <w:rPr>
                <w:rFonts w:ascii="Arial" w:hAnsi="Arial" w:cs="Arial"/>
                <w:bCs/>
                <w:sz w:val="20"/>
                <w:szCs w:val="20"/>
                <w:lang w:val="en-GB"/>
              </w:rPr>
              <w:t>Number of TVET qualifications registered on the TVQF for which equipment has been purchased or equipment and adaptation of facilities has been purchased.</w:t>
            </w:r>
          </w:p>
        </w:tc>
        <w:tc>
          <w:tcPr>
            <w:tcW w:w="3721" w:type="pct"/>
            <w:gridSpan w:val="2"/>
            <w:tcMar>
              <w:top w:w="0" w:type="dxa"/>
              <w:left w:w="108" w:type="dxa"/>
              <w:bottom w:w="0" w:type="dxa"/>
              <w:right w:w="108" w:type="dxa"/>
            </w:tcMar>
            <w:vAlign w:val="center"/>
          </w:tcPr>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Equipment has been purchased in order to equip VE schools, TVIs and CC which have been awarded a total number of 59 qualifications distributed among the public TVET suppliers as follows: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VTC 18,</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MOE 11,</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BAU 30</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 xml:space="preserve">The supply of equipment covered almost all disciplines for which new qualifications were registered following the current process of quality assurance: </w:t>
            </w:r>
          </w:p>
          <w:p w:rsidR="0026155C" w:rsidRPr="003E34D3" w:rsidRDefault="0026155C" w:rsidP="0026155C">
            <w:pPr>
              <w:numPr>
                <w:ilvl w:val="0"/>
                <w:numId w:val="4"/>
              </w:num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 xml:space="preserve">the validation committees are created from the private sector; (2) the TVET qualification development are based on Occupational Standards (in the case of MoE VET – on Educational Standards - until the operation of new National Centre for Curricula Development); </w:t>
            </w:r>
          </w:p>
          <w:p w:rsidR="0026155C" w:rsidRPr="003E34D3" w:rsidRDefault="0026155C" w:rsidP="0026155C">
            <w:pPr>
              <w:numPr>
                <w:ilvl w:val="0"/>
                <w:numId w:val="4"/>
              </w:num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 xml:space="preserve">The Occupational Standards are developed by Sector Skills Committees (established by CAQA from skilled practitioners); </w:t>
            </w:r>
          </w:p>
          <w:p w:rsidR="0026155C" w:rsidRPr="003E34D3" w:rsidRDefault="0026155C" w:rsidP="0026155C">
            <w:pPr>
              <w:numPr>
                <w:ilvl w:val="0"/>
                <w:numId w:val="4"/>
              </w:num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 xml:space="preserve">Each qualification registered on the TVQF is required to be based on at least one Occupational standard to ensure relevance to labour market demand; </w:t>
            </w:r>
          </w:p>
          <w:p w:rsidR="0026155C" w:rsidRPr="003E34D3" w:rsidRDefault="0026155C" w:rsidP="0026155C">
            <w:pPr>
              <w:numPr>
                <w:ilvl w:val="0"/>
                <w:numId w:val="4"/>
              </w:num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(4)</w:t>
            </w:r>
            <w:r w:rsidRPr="003E34D3">
              <w:rPr>
                <w:rFonts w:ascii="Arial" w:hAnsi="Arial" w:cs="Arial"/>
                <w:sz w:val="20"/>
                <w:szCs w:val="20"/>
                <w:lang w:val="en-GB" w:eastAsia="zh-CN"/>
              </w:rPr>
              <w:tab/>
              <w:t>Each qualification registered on the TVQF will be a piloting Qualification for two years.</w:t>
            </w:r>
          </w:p>
        </w:tc>
      </w:tr>
      <w:tr w:rsidR="0026155C" w:rsidRPr="003E34D3" w:rsidTr="002F3F88">
        <w:trPr>
          <w:trHeight w:val="582"/>
        </w:trPr>
        <w:tc>
          <w:tcPr>
            <w:tcW w:w="1279" w:type="pct"/>
            <w:tcMar>
              <w:top w:w="0" w:type="dxa"/>
              <w:left w:w="108" w:type="dxa"/>
              <w:bottom w:w="0" w:type="dxa"/>
              <w:right w:w="108" w:type="dxa"/>
            </w:tcMar>
          </w:tcPr>
          <w:p w:rsidR="0026155C" w:rsidRPr="003E34D3" w:rsidRDefault="0026155C" w:rsidP="002F3F88">
            <w:pPr>
              <w:rPr>
                <w:rFonts w:ascii="Arial" w:hAnsi="Arial" w:cs="Arial"/>
                <w:b/>
                <w:sz w:val="20"/>
                <w:szCs w:val="20"/>
                <w:lang w:val="en-GB"/>
              </w:rPr>
            </w:pPr>
            <w:r w:rsidRPr="003E34D3">
              <w:rPr>
                <w:rFonts w:ascii="Arial" w:hAnsi="Arial" w:cs="Arial"/>
                <w:b/>
                <w:sz w:val="20"/>
                <w:szCs w:val="20"/>
                <w:lang w:val="en-GB"/>
              </w:rPr>
              <w:t>Benchmark 3</w:t>
            </w:r>
          </w:p>
          <w:p w:rsidR="0026155C" w:rsidRPr="003E34D3" w:rsidRDefault="0026155C" w:rsidP="002F3F88">
            <w:pPr>
              <w:rPr>
                <w:rFonts w:ascii="Arial" w:hAnsi="Arial" w:cs="Arial"/>
                <w:bCs/>
                <w:sz w:val="20"/>
                <w:szCs w:val="20"/>
                <w:lang w:val="en-GB"/>
              </w:rPr>
            </w:pPr>
          </w:p>
          <w:p w:rsidR="0026155C" w:rsidRPr="003E34D3" w:rsidRDefault="0026155C" w:rsidP="002F3F88">
            <w:pPr>
              <w:rPr>
                <w:rFonts w:ascii="Arial" w:hAnsi="Arial" w:cs="Arial"/>
                <w:bCs/>
                <w:sz w:val="20"/>
                <w:szCs w:val="20"/>
                <w:lang w:val="en-GB"/>
              </w:rPr>
            </w:pPr>
            <w:r w:rsidRPr="003E34D3">
              <w:rPr>
                <w:rFonts w:ascii="Arial" w:hAnsi="Arial" w:cs="Arial"/>
                <w:bCs/>
                <w:sz w:val="20"/>
                <w:szCs w:val="20"/>
                <w:lang w:val="en-GB"/>
              </w:rPr>
              <w:t>Procurement finalized for all qualifications</w:t>
            </w:r>
          </w:p>
          <w:p w:rsidR="0026155C" w:rsidRPr="003E34D3" w:rsidRDefault="0026155C" w:rsidP="002F3F88">
            <w:pPr>
              <w:rPr>
                <w:rFonts w:ascii="Arial" w:hAnsi="Arial" w:cs="Arial"/>
                <w:b/>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sz w:val="20"/>
                <w:szCs w:val="20"/>
                <w:lang w:val="en-GB"/>
              </w:rPr>
            </w:pPr>
          </w:p>
          <w:p w:rsidR="0026155C" w:rsidRPr="003E34D3" w:rsidRDefault="0026155C" w:rsidP="002F3F88">
            <w:pPr>
              <w:pStyle w:val="NoSpacing"/>
              <w:rPr>
                <w:rFonts w:ascii="Arial" w:hAnsi="Arial"/>
                <w:b/>
                <w:bCs/>
                <w:color w:val="FFFFFF"/>
                <w:sz w:val="20"/>
                <w:szCs w:val="20"/>
                <w:lang w:val="en-GB"/>
              </w:rPr>
            </w:pPr>
            <w:r w:rsidRPr="003E34D3">
              <w:rPr>
                <w:rFonts w:ascii="Arial" w:hAnsi="Arial"/>
                <w:b/>
                <w:bCs/>
                <w:sz w:val="20"/>
                <w:szCs w:val="20"/>
                <w:lang w:val="en-GB"/>
              </w:rPr>
              <w:t xml:space="preserve">BS Objective 2: </w:t>
            </w:r>
          </w:p>
          <w:p w:rsidR="0026155C" w:rsidRPr="003E34D3" w:rsidRDefault="0026155C" w:rsidP="002F3F88">
            <w:pPr>
              <w:pStyle w:val="NoSpacing"/>
              <w:rPr>
                <w:rFonts w:ascii="Arial" w:hAnsi="Arial"/>
                <w:b/>
                <w:bCs/>
                <w:color w:val="FFFFFF"/>
                <w:sz w:val="20"/>
                <w:szCs w:val="20"/>
                <w:lang w:val="en-GB"/>
              </w:rPr>
            </w:pPr>
          </w:p>
          <w:p w:rsidR="0026155C" w:rsidRPr="003E34D3" w:rsidRDefault="0026155C" w:rsidP="002F3F88">
            <w:pPr>
              <w:contextualSpacing/>
              <w:rPr>
                <w:rFonts w:ascii="Arial" w:hAnsi="Arial" w:cs="Arial"/>
                <w:b/>
                <w:bCs/>
                <w:color w:val="FFFFFF"/>
                <w:sz w:val="20"/>
                <w:szCs w:val="20"/>
                <w:lang w:val="en-GB"/>
              </w:rPr>
            </w:pPr>
            <w:r w:rsidRPr="003E34D3">
              <w:rPr>
                <w:rStyle w:val="NoneA"/>
                <w:rFonts w:ascii="Arial" w:eastAsia="MS Gothic" w:hAnsi="Arial" w:cs="Arial"/>
                <w:sz w:val="20"/>
                <w:szCs w:val="20"/>
                <w:u w:val="single"/>
                <w:lang w:val="en-GB"/>
              </w:rPr>
              <w:t>Objective 2</w:t>
            </w:r>
            <w:r w:rsidRPr="003E34D3">
              <w:rPr>
                <w:rStyle w:val="NoneA"/>
                <w:rFonts w:ascii="Arial" w:eastAsia="MS Gothic" w:hAnsi="Arial" w:cs="Arial"/>
                <w:sz w:val="20"/>
                <w:szCs w:val="20"/>
                <w:lang w:val="en-GB"/>
              </w:rPr>
              <w:t>: Improve relevance, quality, effectiveness and attractiveness of technical and vocational education and training for employability</w:t>
            </w:r>
            <w:r w:rsidRPr="003E34D3">
              <w:rPr>
                <w:rFonts w:ascii="Arial" w:hAnsi="Arial" w:cs="Arial"/>
                <w:b/>
                <w:bCs/>
                <w:color w:val="FFFFFF"/>
                <w:sz w:val="20"/>
                <w:szCs w:val="20"/>
                <w:lang w:val="en-GB"/>
              </w:rPr>
              <w:t xml:space="preserve"> </w:t>
            </w:r>
          </w:p>
          <w:p w:rsidR="0026155C" w:rsidRPr="003E34D3" w:rsidRDefault="0026155C" w:rsidP="002F3F88">
            <w:pPr>
              <w:rPr>
                <w:rFonts w:ascii="Arial" w:hAnsi="Arial" w:cs="Arial"/>
                <w:b/>
                <w:sz w:val="20"/>
                <w:szCs w:val="20"/>
                <w:lang w:val="en-GB"/>
              </w:rPr>
            </w:pPr>
          </w:p>
        </w:tc>
        <w:tc>
          <w:tcPr>
            <w:tcW w:w="3721" w:type="pct"/>
            <w:gridSpan w:val="2"/>
            <w:tcMar>
              <w:top w:w="0" w:type="dxa"/>
              <w:left w:w="108" w:type="dxa"/>
              <w:bottom w:w="0" w:type="dxa"/>
              <w:right w:w="108" w:type="dxa"/>
            </w:tcMar>
            <w:vAlign w:val="center"/>
          </w:tcPr>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lastRenderedPageBreak/>
              <w:t>The procedure to accredit qualifications (by CAQA to VTC or MoE VET and by AQACHEI to Community Colleges of BAU) was: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verifying the equipment,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training facilities and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capacity of trainers to use equipment for TVET.  </w:t>
            </w:r>
          </w:p>
          <w:p w:rsidR="0026155C" w:rsidRDefault="0026155C" w:rsidP="002F3F88">
            <w:pPr>
              <w:jc w:val="both"/>
              <w:rPr>
                <w:rFonts w:ascii="Arial" w:hAnsi="Arial" w:cs="Arial"/>
                <w:sz w:val="20"/>
                <w:szCs w:val="20"/>
                <w:lang w:val="en-GB" w:eastAsia="zh-CN"/>
              </w:rPr>
            </w:pPr>
          </w:p>
          <w:p w:rsidR="0026155C" w:rsidRPr="003E34D3" w:rsidRDefault="0026155C" w:rsidP="002F3F88">
            <w:pPr>
              <w:jc w:val="both"/>
              <w:rPr>
                <w:rFonts w:ascii="Arial" w:hAnsi="Arial" w:cs="Arial"/>
                <w:sz w:val="20"/>
                <w:szCs w:val="20"/>
                <w:lang w:val="en-GB" w:eastAsia="zh-CN"/>
              </w:rPr>
            </w:pPr>
            <w:r w:rsidRPr="003E34D3">
              <w:rPr>
                <w:rFonts w:ascii="Arial" w:hAnsi="Arial" w:cs="Arial"/>
                <w:sz w:val="20"/>
                <w:szCs w:val="20"/>
                <w:lang w:val="en-GB" w:eastAsia="zh-CN"/>
              </w:rPr>
              <w:t>The legal requirements for the approval of the purchase of equipment (exemption from VAT for importing respective equipment) impose that the decisions to purchase specific lots of equipment is based on the TVET qualification for which new equipment or refurbished facilities has been approved.</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In identifying and procuring equipment, priority was given to industrial disciplines of high and advanced technologies mostly but not exclusively related to automotive and renewable energy.</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The qualification for which the equipment was purchased and the teachers and trainers retrained were:</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Electricity and electrical wiring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Electronics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Information Technology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Maintenance of vehicles and machinery including Hybrid and electrical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Chemical Industry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lastRenderedPageBreak/>
              <w:t>Handicraft industry and traditional</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Carpentry, upholstery and decoration</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Construction and maintenance technology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Conditioning, cooling and sanitary installations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Agriculture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Renewable and solar energy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Personal Services (Cosmetics)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Sales and Commercial Services including business management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Pharmaceutical Industries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Manual and Traditional Crafts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Textile</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Hospitality and Tourism</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Home Economy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Automotive /Autotronics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Metal Formation and Mechanical Maintenance</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Road area and quantity calculation</w:t>
            </w:r>
          </w:p>
          <w:p w:rsidR="0026155C" w:rsidRPr="003E34D3" w:rsidRDefault="0026155C" w:rsidP="0026155C">
            <w:pPr>
              <w:pStyle w:val="ListParagraph"/>
              <w:numPr>
                <w:ilvl w:val="0"/>
                <w:numId w:val="3"/>
              </w:numPr>
              <w:jc w:val="both"/>
              <w:rPr>
                <w:rFonts w:ascii="Arial" w:hAnsi="Arial"/>
                <w:sz w:val="20"/>
                <w:szCs w:val="20"/>
                <w:lang w:eastAsia="zh-CN"/>
              </w:rPr>
            </w:pPr>
            <w:r w:rsidRPr="003E34D3">
              <w:rPr>
                <w:rFonts w:ascii="Arial" w:hAnsi="Arial"/>
                <w:bCs/>
                <w:sz w:val="20"/>
                <w:szCs w:val="20"/>
              </w:rPr>
              <w:t>Accounting and social sciences</w:t>
            </w:r>
          </w:p>
        </w:tc>
      </w:tr>
      <w:tr w:rsidR="0026155C" w:rsidRPr="003E34D3" w:rsidTr="002F3F88">
        <w:trPr>
          <w:trHeight w:val="582"/>
        </w:trPr>
        <w:tc>
          <w:tcPr>
            <w:tcW w:w="1279" w:type="pct"/>
            <w:tcMar>
              <w:top w:w="0" w:type="dxa"/>
              <w:left w:w="108" w:type="dxa"/>
              <w:bottom w:w="0" w:type="dxa"/>
              <w:right w:w="108" w:type="dxa"/>
            </w:tcMar>
            <w:vAlign w:val="center"/>
          </w:tcPr>
          <w:p w:rsidR="0026155C" w:rsidRPr="003E34D3" w:rsidRDefault="0026155C" w:rsidP="002F3F88">
            <w:pPr>
              <w:spacing w:after="113" w:line="100" w:lineRule="atLeast"/>
              <w:jc w:val="both"/>
              <w:rPr>
                <w:rFonts w:ascii="Arial" w:hAnsi="Arial" w:cs="Arial"/>
                <w:b/>
                <w:bCs/>
                <w:sz w:val="20"/>
                <w:szCs w:val="20"/>
                <w:lang w:val="en-GB"/>
              </w:rPr>
            </w:pPr>
            <w:r w:rsidRPr="003E34D3">
              <w:rPr>
                <w:rFonts w:ascii="Arial" w:hAnsi="Arial" w:cs="Arial"/>
                <w:b/>
                <w:bCs/>
                <w:sz w:val="20"/>
                <w:szCs w:val="20"/>
                <w:lang w:val="en-GB"/>
              </w:rPr>
              <w:lastRenderedPageBreak/>
              <w:t>Indicator 4:</w:t>
            </w:r>
          </w:p>
          <w:p w:rsidR="0026155C" w:rsidRPr="003E34D3" w:rsidRDefault="0026155C" w:rsidP="002F3F88">
            <w:pPr>
              <w:spacing w:after="113" w:line="100" w:lineRule="atLeast"/>
              <w:rPr>
                <w:rFonts w:ascii="Arial" w:hAnsi="Arial" w:cs="Arial"/>
                <w:sz w:val="20"/>
                <w:szCs w:val="20"/>
                <w:lang w:val="en-GB"/>
              </w:rPr>
            </w:pPr>
            <w:r w:rsidRPr="003E34D3">
              <w:rPr>
                <w:rFonts w:ascii="Arial" w:hAnsi="Arial" w:cs="Arial"/>
                <w:sz w:val="20"/>
                <w:szCs w:val="20"/>
                <w:lang w:val="en-GB"/>
              </w:rPr>
              <w:t xml:space="preserve">Number of ETVET teachers, trainers, laboratory supervisors who participated in professional training and completed secondment (min 1 month/year) to industry relevant to their field of training. </w:t>
            </w:r>
          </w:p>
          <w:p w:rsidR="0026155C" w:rsidRPr="007A56CE" w:rsidRDefault="0026155C" w:rsidP="002F3F88">
            <w:pPr>
              <w:spacing w:after="113" w:line="100" w:lineRule="atLeast"/>
              <w:jc w:val="both"/>
              <w:rPr>
                <w:rFonts w:ascii="Arial" w:hAnsi="Arial" w:cs="Arial"/>
                <w:b/>
                <w:bCs/>
                <w:sz w:val="20"/>
                <w:szCs w:val="20"/>
                <w:lang w:val="en-GB"/>
              </w:rPr>
            </w:pPr>
            <w:r w:rsidRPr="007A56CE">
              <w:rPr>
                <w:rFonts w:ascii="Arial" w:hAnsi="Arial" w:cs="Arial"/>
                <w:b/>
                <w:bCs/>
                <w:sz w:val="20"/>
                <w:szCs w:val="20"/>
                <w:lang w:val="en-GB"/>
              </w:rPr>
              <w:t xml:space="preserve">Benchmark 4 </w:t>
            </w:r>
          </w:p>
          <w:p w:rsidR="0026155C" w:rsidRPr="003E34D3" w:rsidRDefault="0026155C" w:rsidP="002F3F88">
            <w:pPr>
              <w:spacing w:after="113" w:line="100" w:lineRule="atLeast"/>
              <w:jc w:val="both"/>
              <w:rPr>
                <w:rFonts w:ascii="Arial" w:hAnsi="Arial" w:cs="Arial"/>
                <w:sz w:val="20"/>
                <w:szCs w:val="20"/>
                <w:lang w:val="en-GB"/>
              </w:rPr>
            </w:pPr>
            <w:r w:rsidRPr="003E34D3">
              <w:rPr>
                <w:rFonts w:ascii="Arial" w:hAnsi="Arial" w:cs="Arial"/>
                <w:sz w:val="20"/>
                <w:szCs w:val="20"/>
                <w:lang w:val="en-GB"/>
              </w:rPr>
              <w:t>Training assessment report by the training providers with the list of participants per programme</w:t>
            </w:r>
          </w:p>
          <w:p w:rsidR="0026155C" w:rsidRPr="003E34D3" w:rsidRDefault="0026155C" w:rsidP="002F3F88">
            <w:pPr>
              <w:spacing w:after="113" w:line="100" w:lineRule="atLeast"/>
              <w:jc w:val="both"/>
              <w:rPr>
                <w:rStyle w:val="NoneA"/>
                <w:rFonts w:ascii="Arial" w:eastAsia="MS Gothic" w:hAnsi="Arial" w:cs="Arial"/>
                <w:b/>
                <w:bCs/>
                <w:sz w:val="20"/>
                <w:szCs w:val="20"/>
                <w:lang w:val="en-GB"/>
              </w:rPr>
            </w:pPr>
          </w:p>
          <w:p w:rsidR="0026155C" w:rsidRPr="003E34D3" w:rsidRDefault="0026155C" w:rsidP="002F3F88">
            <w:pPr>
              <w:spacing w:after="113" w:line="100" w:lineRule="atLeast"/>
              <w:jc w:val="both"/>
              <w:rPr>
                <w:rStyle w:val="NoneA"/>
                <w:rFonts w:ascii="Arial" w:eastAsia="MS Gothic" w:hAnsi="Arial" w:cs="Arial"/>
                <w:b/>
                <w:bCs/>
                <w:sz w:val="20"/>
                <w:szCs w:val="20"/>
                <w:lang w:val="en-GB"/>
              </w:rPr>
            </w:pPr>
            <w:r w:rsidRPr="003E34D3">
              <w:rPr>
                <w:rStyle w:val="NoneA"/>
                <w:rFonts w:ascii="Arial" w:eastAsia="MS Gothic" w:hAnsi="Arial" w:cs="Arial"/>
                <w:b/>
                <w:bCs/>
                <w:sz w:val="20"/>
                <w:szCs w:val="20"/>
                <w:lang w:val="en-GB"/>
              </w:rPr>
              <w:t xml:space="preserve">BS Objective 2: </w:t>
            </w:r>
          </w:p>
          <w:p w:rsidR="0026155C" w:rsidRPr="003E34D3" w:rsidRDefault="0026155C" w:rsidP="002F3F88">
            <w:pPr>
              <w:spacing w:after="113" w:line="100" w:lineRule="atLeast"/>
              <w:rPr>
                <w:rFonts w:ascii="Arial" w:hAnsi="Arial" w:cs="Arial"/>
                <w:sz w:val="20"/>
                <w:szCs w:val="20"/>
                <w:lang w:val="en-GB"/>
              </w:rPr>
            </w:pPr>
            <w:r w:rsidRPr="003E34D3">
              <w:rPr>
                <w:rStyle w:val="NoneA"/>
                <w:rFonts w:ascii="Arial" w:eastAsia="MS Gothic" w:hAnsi="Arial" w:cs="Arial"/>
                <w:sz w:val="20"/>
                <w:szCs w:val="20"/>
                <w:lang w:val="en-GB"/>
              </w:rPr>
              <w:t>Improve relevance, quality, effectiveness and attractiveness of technical and vocational education and training for employability</w:t>
            </w:r>
          </w:p>
          <w:p w:rsidR="0026155C" w:rsidRPr="003E34D3" w:rsidRDefault="0026155C" w:rsidP="002F3F88">
            <w:pPr>
              <w:spacing w:after="113" w:line="100" w:lineRule="atLeast"/>
              <w:jc w:val="both"/>
              <w:rPr>
                <w:rFonts w:ascii="Arial" w:hAnsi="Arial" w:cs="Arial"/>
                <w:sz w:val="20"/>
                <w:szCs w:val="20"/>
                <w:lang w:val="en-GB"/>
              </w:rPr>
            </w:pPr>
          </w:p>
          <w:p w:rsidR="0026155C" w:rsidRPr="003E34D3" w:rsidRDefault="0026155C" w:rsidP="002F3F88">
            <w:pPr>
              <w:spacing w:after="113" w:line="100" w:lineRule="atLeast"/>
              <w:jc w:val="both"/>
              <w:rPr>
                <w:rFonts w:ascii="Arial" w:hAnsi="Arial" w:cs="Arial"/>
                <w:sz w:val="20"/>
                <w:szCs w:val="20"/>
                <w:lang w:val="en-GB"/>
              </w:rPr>
            </w:pPr>
          </w:p>
          <w:p w:rsidR="0026155C" w:rsidRPr="003E34D3" w:rsidRDefault="0026155C" w:rsidP="002F3F88">
            <w:pPr>
              <w:rPr>
                <w:rFonts w:ascii="Arial" w:hAnsi="Arial" w:cs="Arial"/>
                <w:b/>
                <w:sz w:val="20"/>
                <w:szCs w:val="20"/>
                <w:lang w:val="en-GB"/>
              </w:rPr>
            </w:pPr>
          </w:p>
        </w:tc>
        <w:tc>
          <w:tcPr>
            <w:tcW w:w="3721" w:type="pct"/>
            <w:gridSpan w:val="2"/>
            <w:tcMar>
              <w:top w:w="0" w:type="dxa"/>
              <w:left w:w="108" w:type="dxa"/>
              <w:bottom w:w="0" w:type="dxa"/>
              <w:right w:w="108" w:type="dxa"/>
            </w:tcMar>
            <w:vAlign w:val="center"/>
          </w:tcPr>
          <w:p w:rsidR="0026155C" w:rsidRPr="003E34D3" w:rsidRDefault="0026155C" w:rsidP="002F3F88">
            <w:pPr>
              <w:jc w:val="both"/>
              <w:rPr>
                <w:rFonts w:ascii="Arial" w:hAnsi="Arial" w:cs="Arial"/>
                <w:sz w:val="20"/>
                <w:szCs w:val="20"/>
                <w:lang w:val="en-GB" w:eastAsia="zh-CN"/>
              </w:rPr>
            </w:pPr>
            <w:r w:rsidRPr="003E34D3">
              <w:rPr>
                <w:rFonts w:ascii="Arial" w:hAnsi="Arial" w:cs="Arial"/>
                <w:sz w:val="20"/>
                <w:szCs w:val="20"/>
                <w:lang w:val="en-GB" w:eastAsia="zh-CN"/>
              </w:rPr>
              <w:t>Increasing the quality of TVET through consistent training requirements for TVET instructors, aligning standards and quality assurance for all institutions, and closer coordination with private sector (Strategic Objective (2) of NSHRD strategy 2016-2025).</w:t>
            </w:r>
          </w:p>
          <w:p w:rsidR="0026155C" w:rsidRDefault="0026155C" w:rsidP="002F3F88">
            <w:pPr>
              <w:jc w:val="both"/>
              <w:rPr>
                <w:rFonts w:ascii="Arial" w:hAnsi="Arial" w:cs="Arial"/>
                <w:sz w:val="20"/>
                <w:szCs w:val="20"/>
                <w:lang w:val="en-GB" w:eastAsia="zh-CN"/>
              </w:rPr>
            </w:pP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Target: 2270 trainers retrained with the following distribution</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VTC, 600 trainers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MOE  1125 VE teachers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BAU 520 professors, technicians and trainers</w:t>
            </w:r>
          </w:p>
          <w:p w:rsidR="0026155C" w:rsidRDefault="0026155C" w:rsidP="002F3F88">
            <w:pPr>
              <w:jc w:val="both"/>
              <w:rPr>
                <w:rFonts w:ascii="Arial" w:hAnsi="Arial" w:cs="Arial"/>
                <w:sz w:val="20"/>
                <w:szCs w:val="20"/>
                <w:lang w:val="en-GB" w:eastAsia="zh-CN"/>
              </w:rPr>
            </w:pPr>
          </w:p>
          <w:p w:rsidR="0026155C" w:rsidRDefault="0026155C" w:rsidP="002F3F88">
            <w:pPr>
              <w:jc w:val="both"/>
              <w:rPr>
                <w:rFonts w:ascii="Arial" w:hAnsi="Arial" w:cs="Arial"/>
                <w:sz w:val="20"/>
                <w:szCs w:val="20"/>
                <w:lang w:val="en-GB" w:eastAsia="zh-CN"/>
              </w:rPr>
            </w:pPr>
            <w:r w:rsidRPr="003E34D3">
              <w:rPr>
                <w:rFonts w:ascii="Arial" w:hAnsi="Arial" w:cs="Arial"/>
                <w:sz w:val="20"/>
                <w:szCs w:val="20"/>
                <w:lang w:val="en-GB" w:eastAsia="zh-CN"/>
              </w:rPr>
              <w:t>At the end of the BS programme 2293 trainers and teachers had been retrained from the 3 institutions, as follows:</w:t>
            </w:r>
          </w:p>
          <w:p w:rsidR="0026155C" w:rsidRPr="003E34D3" w:rsidRDefault="0026155C" w:rsidP="002F3F88">
            <w:pPr>
              <w:jc w:val="both"/>
              <w:rPr>
                <w:rFonts w:ascii="Arial" w:hAnsi="Arial" w:cs="Arial"/>
                <w:sz w:val="20"/>
                <w:szCs w:val="20"/>
                <w:lang w:val="en-GB" w:eastAsia="zh-CN"/>
              </w:rPr>
            </w:pP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VTC (560)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MOE (1117)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BAU (616)</w:t>
            </w:r>
          </w:p>
          <w:p w:rsidR="0026155C" w:rsidRDefault="0026155C" w:rsidP="002F3F88">
            <w:pPr>
              <w:jc w:val="both"/>
              <w:rPr>
                <w:rFonts w:ascii="Arial" w:hAnsi="Arial" w:cs="Arial"/>
                <w:sz w:val="20"/>
                <w:szCs w:val="20"/>
                <w:lang w:val="en-GB" w:eastAsia="zh-CN"/>
              </w:rPr>
            </w:pPr>
          </w:p>
          <w:p w:rsidR="0026155C" w:rsidRPr="003E34D3" w:rsidRDefault="0026155C" w:rsidP="002F3F88">
            <w:pPr>
              <w:jc w:val="both"/>
              <w:rPr>
                <w:rFonts w:ascii="Arial" w:hAnsi="Arial" w:cs="Arial"/>
                <w:sz w:val="20"/>
                <w:szCs w:val="20"/>
                <w:lang w:val="en-GB" w:eastAsia="zh-CN"/>
              </w:rPr>
            </w:pPr>
            <w:r w:rsidRPr="003E34D3">
              <w:rPr>
                <w:rFonts w:ascii="Arial" w:hAnsi="Arial" w:cs="Arial"/>
                <w:sz w:val="20"/>
                <w:szCs w:val="20"/>
                <w:lang w:val="en-GB" w:eastAsia="zh-CN"/>
              </w:rPr>
              <w:t>Training of Trainers, teachers, laboratory supervisors have been prepared, organized and delivered by :</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the BAU National Institute for Training and Upgrading of Trainers and</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 xml:space="preserve">private training providers from Industry for MoE teachers and BAU instructors; </w:t>
            </w:r>
          </w:p>
          <w:p w:rsidR="0026155C" w:rsidRPr="003E34D3" w:rsidRDefault="0026155C" w:rsidP="0026155C">
            <w:pPr>
              <w:pStyle w:val="ListParagraph"/>
              <w:numPr>
                <w:ilvl w:val="0"/>
                <w:numId w:val="3"/>
              </w:numPr>
              <w:jc w:val="both"/>
              <w:rPr>
                <w:rFonts w:ascii="Arial" w:hAnsi="Arial"/>
                <w:sz w:val="20"/>
                <w:szCs w:val="20"/>
                <w:lang w:eastAsia="zh-CN"/>
              </w:rPr>
            </w:pPr>
            <w:r w:rsidRPr="003E34D3">
              <w:rPr>
                <w:rFonts w:ascii="Arial" w:hAnsi="Arial"/>
                <w:bCs/>
                <w:sz w:val="20"/>
                <w:szCs w:val="20"/>
              </w:rPr>
              <w:t>VTC + VTI for Training of Trainers (Training and Development Institute) for VTC trainers.</w:t>
            </w:r>
          </w:p>
          <w:p w:rsidR="0026155C" w:rsidRDefault="0026155C" w:rsidP="002F3F88">
            <w:pPr>
              <w:pStyle w:val="ListParagraph"/>
              <w:ind w:left="0"/>
              <w:jc w:val="both"/>
              <w:rPr>
                <w:rFonts w:ascii="Arial" w:hAnsi="Arial"/>
                <w:sz w:val="20"/>
                <w:szCs w:val="20"/>
                <w:lang w:eastAsia="zh-CN"/>
              </w:rPr>
            </w:pPr>
          </w:p>
          <w:p w:rsidR="0026155C" w:rsidRPr="003E34D3" w:rsidRDefault="0026155C" w:rsidP="002F3F88">
            <w:pPr>
              <w:pStyle w:val="ListParagraph"/>
              <w:ind w:left="0"/>
              <w:jc w:val="both"/>
              <w:rPr>
                <w:rFonts w:ascii="Arial" w:hAnsi="Arial"/>
                <w:sz w:val="20"/>
                <w:szCs w:val="20"/>
                <w:lang w:eastAsia="zh-CN"/>
              </w:rPr>
            </w:pPr>
            <w:r w:rsidRPr="003E34D3">
              <w:rPr>
                <w:rFonts w:ascii="Arial" w:hAnsi="Arial"/>
                <w:sz w:val="20"/>
                <w:szCs w:val="20"/>
                <w:lang w:eastAsia="zh-CN"/>
              </w:rPr>
              <w:t>The T</w:t>
            </w:r>
            <w:r>
              <w:rPr>
                <w:rFonts w:ascii="Arial" w:hAnsi="Arial"/>
                <w:sz w:val="20"/>
                <w:szCs w:val="20"/>
                <w:lang w:eastAsia="zh-CN"/>
              </w:rPr>
              <w:t>O</w:t>
            </w:r>
            <w:r w:rsidRPr="003E34D3">
              <w:rPr>
                <w:rFonts w:ascii="Arial" w:hAnsi="Arial"/>
                <w:sz w:val="20"/>
                <w:szCs w:val="20"/>
                <w:lang w:eastAsia="zh-CN"/>
              </w:rPr>
              <w:t xml:space="preserve">T curricula specifications correspond with qualifications newly accredited by CAQA for MOE and VTC and by AQACHEI for BAU. </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The industries where TVET trainers were trained for the practical component of the TOT (one month duration) were:</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For VTC trainers and supervisors: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International Engineers for Trading Foundation</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French Academy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lastRenderedPageBreak/>
              <w:t>Virtue City Academy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Integrated dimensions of training</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Al - Safwa for Electrical Home Appliances</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Jadara Electronics Company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Alsura Corporation</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Alsawary Trading Company</w:t>
            </w:r>
          </w:p>
          <w:p w:rsidR="0026155C" w:rsidRPr="003E34D3" w:rsidRDefault="0026155C" w:rsidP="0026155C">
            <w:pPr>
              <w:pStyle w:val="ListParagraph"/>
              <w:numPr>
                <w:ilvl w:val="0"/>
                <w:numId w:val="3"/>
              </w:numPr>
              <w:jc w:val="both"/>
              <w:rPr>
                <w:rFonts w:ascii="Arial" w:hAnsi="Arial"/>
                <w:bCs/>
                <w:sz w:val="20"/>
                <w:szCs w:val="20"/>
              </w:rPr>
            </w:pPr>
            <w:r w:rsidRPr="003E34D3">
              <w:rPr>
                <w:rFonts w:ascii="Arial" w:hAnsi="Arial"/>
                <w:bCs/>
                <w:sz w:val="20"/>
                <w:szCs w:val="20"/>
              </w:rPr>
              <w:t>New Hori</w:t>
            </w:r>
            <w:r>
              <w:rPr>
                <w:rFonts w:ascii="Arial" w:hAnsi="Arial"/>
                <w:bCs/>
                <w:sz w:val="20"/>
                <w:szCs w:val="20"/>
              </w:rPr>
              <w:t>z</w:t>
            </w:r>
            <w:r w:rsidRPr="003E34D3">
              <w:rPr>
                <w:rFonts w:ascii="Arial" w:hAnsi="Arial"/>
                <w:bCs/>
                <w:sz w:val="20"/>
                <w:szCs w:val="20"/>
              </w:rPr>
              <w:t>on Apex Company</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For BAU TVET trainers and supervisors</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QuickBooks Jordan Company</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Nada Company</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 xml:space="preserve">Certiport Company </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Intuit Quickbooks International Companies</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 xml:space="preserve">Luminous Company </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 xml:space="preserve">Cisco </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Engineering Geniuses Company</w:t>
            </w:r>
          </w:p>
          <w:p w:rsidR="0026155C" w:rsidRPr="003E34D3" w:rsidRDefault="0026155C" w:rsidP="002F3F88">
            <w:pPr>
              <w:spacing w:before="120" w:after="120"/>
              <w:jc w:val="both"/>
              <w:rPr>
                <w:rFonts w:ascii="Arial" w:hAnsi="Arial" w:cs="Arial"/>
                <w:sz w:val="20"/>
                <w:szCs w:val="20"/>
                <w:lang w:val="en-GB" w:eastAsia="zh-CN"/>
              </w:rPr>
            </w:pPr>
            <w:r w:rsidRPr="003E34D3">
              <w:rPr>
                <w:rFonts w:ascii="Arial" w:hAnsi="Arial" w:cs="Arial"/>
                <w:sz w:val="20"/>
                <w:szCs w:val="20"/>
                <w:lang w:val="en-GB" w:eastAsia="zh-CN"/>
              </w:rPr>
              <w:t>For MoE VET teachers and supervisors</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Visual Software Consultancy Corporation PRAVO – Food Manufacturing; Amadeus Program in Tourism and Hotels</w:t>
            </w:r>
          </w:p>
          <w:p w:rsidR="0026155C" w:rsidRPr="007A56CE" w:rsidRDefault="0026155C" w:rsidP="0026155C">
            <w:pPr>
              <w:pStyle w:val="ListParagraph"/>
              <w:numPr>
                <w:ilvl w:val="0"/>
                <w:numId w:val="3"/>
              </w:numPr>
              <w:jc w:val="both"/>
              <w:rPr>
                <w:rFonts w:ascii="Arial" w:hAnsi="Arial"/>
                <w:bCs/>
                <w:sz w:val="20"/>
                <w:szCs w:val="20"/>
              </w:rPr>
            </w:pPr>
            <w:r w:rsidRPr="007A56CE">
              <w:rPr>
                <w:rFonts w:ascii="Arial" w:hAnsi="Arial"/>
                <w:bCs/>
                <w:sz w:val="20"/>
                <w:szCs w:val="20"/>
              </w:rPr>
              <w:t>Garment Design &amp; Training Services Centre – Design and Garment Making</w:t>
            </w:r>
          </w:p>
          <w:p w:rsidR="0026155C" w:rsidRPr="003E34D3" w:rsidRDefault="0026155C" w:rsidP="0026155C">
            <w:pPr>
              <w:pStyle w:val="ListParagraph"/>
              <w:numPr>
                <w:ilvl w:val="0"/>
                <w:numId w:val="3"/>
              </w:numPr>
              <w:jc w:val="both"/>
              <w:rPr>
                <w:rFonts w:ascii="Arial" w:hAnsi="Arial"/>
                <w:sz w:val="20"/>
                <w:szCs w:val="20"/>
                <w:lang w:eastAsia="zh-CN"/>
              </w:rPr>
            </w:pPr>
            <w:r w:rsidRPr="007A56CE">
              <w:rPr>
                <w:rFonts w:ascii="Arial" w:hAnsi="Arial"/>
                <w:bCs/>
                <w:sz w:val="20"/>
                <w:szCs w:val="20"/>
              </w:rPr>
              <w:t>Alhalat Development Corporation – Agriculture; Carpentry and Decoration; Blacksmith and metal formation</w:t>
            </w:r>
            <w:r w:rsidRPr="003E34D3">
              <w:rPr>
                <w:rFonts w:ascii="Arial" w:hAnsi="Arial"/>
                <w:sz w:val="20"/>
                <w:szCs w:val="20"/>
                <w:lang w:eastAsia="zh-CN"/>
              </w:rPr>
              <w:t>.</w:t>
            </w:r>
          </w:p>
        </w:tc>
      </w:tr>
    </w:tbl>
    <w:p w:rsidR="0026155C" w:rsidRPr="003E34D3" w:rsidRDefault="0026155C" w:rsidP="0026155C">
      <w:pPr>
        <w:rPr>
          <w:lang w:val="en-GB"/>
        </w:rPr>
      </w:pPr>
    </w:p>
    <w:p w:rsidR="00DD6F9D" w:rsidRPr="0026155C" w:rsidRDefault="00DD6F9D">
      <w:pPr>
        <w:rPr>
          <w:lang w:val="en-GB"/>
        </w:rPr>
      </w:pPr>
      <w:bookmarkStart w:id="13" w:name="_GoBack"/>
      <w:bookmarkEnd w:id="13"/>
    </w:p>
    <w:sectPr w:rsidR="00DD6F9D" w:rsidRPr="0026155C">
      <w:headerReference w:type="default" r:id="rId6"/>
      <w:footerReference w:type="even" r:id="rId7"/>
      <w:footerReference w:type="default" r:id="rId8"/>
      <w:pgSz w:w="11906" w:h="16838"/>
      <w:pgMar w:top="1417" w:right="1417"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E" w:rsidRDefault="0026155C" w:rsidP="0058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A56CE" w:rsidRDefault="0026155C" w:rsidP="007A56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CE" w:rsidRDefault="0026155C" w:rsidP="0058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7A56CE" w:rsidRDefault="0026155C" w:rsidP="007A56CE">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7A" w:rsidRDefault="0026155C" w:rsidP="0003527A">
    <w:pPr>
      <w:spacing w:after="40"/>
      <w:jc w:val="center"/>
      <w:rPr>
        <w:rFonts w:ascii="Arial" w:hAnsi="Arial"/>
        <w:b/>
        <w:bCs/>
        <w:sz w:val="20"/>
        <w:szCs w:val="20"/>
      </w:rPr>
    </w:pPr>
    <w:r>
      <w:rPr>
        <w:noProof/>
      </w:rPr>
      <w:drawing>
        <wp:anchor distT="0" distB="0" distL="114300" distR="114300" simplePos="0" relativeHeight="251661312" behindDoc="0" locked="0" layoutInCell="1" allowOverlap="1">
          <wp:simplePos x="0" y="0"/>
          <wp:positionH relativeFrom="page">
            <wp:posOffset>6297930</wp:posOffset>
          </wp:positionH>
          <wp:positionV relativeFrom="page">
            <wp:posOffset>390525</wp:posOffset>
          </wp:positionV>
          <wp:extent cx="914400" cy="542925"/>
          <wp:effectExtent l="0" t="0" r="0" b="9525"/>
          <wp:wrapSquare wrapText="bothSides"/>
          <wp:docPr id="5" name="Picture 5" descr="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c/c0/Flag_of_Jordan.svg/640px-Flag_of_Jordan.svg.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360045</wp:posOffset>
          </wp:positionH>
          <wp:positionV relativeFrom="page">
            <wp:posOffset>390525</wp:posOffset>
          </wp:positionV>
          <wp:extent cx="914400" cy="552450"/>
          <wp:effectExtent l="0" t="0" r="0" b="0"/>
          <wp:wrapSquare wrapText="bothSides"/>
          <wp:docPr id="4" name="Picture 4" descr="http://www.aegis-itn.eu/fileadmin/user_upload/logo-EU.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egis-itn.eu/fileadmin/user_upload/logo-EU.jpg">
                    <a:hlinkClick r:id="rId2"/>
                  </pic:cNvPr>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 xml:space="preserve">EU Funded Project “Technical Assistance to the Skills for Employment and Social </w:t>
    </w:r>
  </w:p>
  <w:p w:rsidR="0003527A" w:rsidRDefault="0026155C" w:rsidP="0003527A">
    <w:pPr>
      <w:spacing w:after="40"/>
      <w:jc w:val="center"/>
      <w:rPr>
        <w:rFonts w:ascii="Arial" w:hAnsi="Arial"/>
        <w:b/>
        <w:bCs/>
        <w:sz w:val="20"/>
        <w:szCs w:val="20"/>
      </w:rPr>
    </w:pPr>
    <w:r>
      <w:rPr>
        <w:rFonts w:ascii="Arial" w:hAnsi="Arial"/>
        <w:b/>
        <w:bCs/>
        <w:sz w:val="20"/>
        <w:szCs w:val="20"/>
      </w:rPr>
      <w:t>Inclusion Programme”</w:t>
    </w:r>
  </w:p>
  <w:p w:rsidR="0003527A" w:rsidRDefault="0026155C" w:rsidP="0003527A">
    <w:pPr>
      <w:pStyle w:val="Header"/>
      <w:bidi/>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415925</wp:posOffset>
              </wp:positionV>
              <wp:extent cx="60864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57BA560B" id="_x0000_t32" coordsize="21600,21600" o:spt="32" o:oned="t" path="m,l21600,21600e" filled="f">
              <v:path arrowok="t" fillok="f" o:connecttype="none"/>
              <o:lock v:ext="edit" shapetype="t"/>
            </v:shapetype>
            <v:shape id="Straight Arrow Connector 3"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"/>
          </w:pict>
        </mc:Fallback>
      </mc:AlternateContent>
    </w:r>
    <w:r>
      <w:rPr>
        <w:b/>
        <w:bCs/>
        <w:rtl/>
        <w:lang w:bidi="ar-JO"/>
      </w:rPr>
      <w:t>المشروع الاوروبي " الدعم الفني لبرنامج مهارات العمل والإندماج الإجتماعي"</w:t>
    </w:r>
    <w:r>
      <w:rPr>
        <w:b/>
        <w:bCs/>
        <w:rtl/>
        <w:lang w:bidi="ar-JO"/>
      </w:rPr>
      <w:br/>
    </w:r>
  </w:p>
  <w:p w:rsidR="0003527A" w:rsidRDefault="0026155C" w:rsidP="0003527A">
    <w:pPr>
      <w:pStyle w:val="Header"/>
    </w:pPr>
  </w:p>
  <w:p w:rsidR="0003527A" w:rsidRDefault="0026155C" w:rsidP="0003527A">
    <w:pPr>
      <w:pStyle w:val="Header"/>
    </w:pPr>
  </w:p>
  <w:p w:rsidR="0003527A" w:rsidRDefault="002615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CE4"/>
    <w:multiLevelType w:val="multilevel"/>
    <w:tmpl w:val="3C8B4E7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8B4E7F"/>
    <w:multiLevelType w:val="multilevel"/>
    <w:tmpl w:val="3C8B4E7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E17690"/>
    <w:multiLevelType w:val="hybridMultilevel"/>
    <w:tmpl w:val="ABB02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9B5305"/>
    <w:multiLevelType w:val="multilevel"/>
    <w:tmpl w:val="8216E7E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C"/>
    <w:rsid w:val="0026155C"/>
    <w:rsid w:val="009F7CD3"/>
    <w:rsid w:val="00DD6F9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E8D2D-B57C-49F7-81AC-21EA4E21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9"/>
    <w:qFormat/>
    <w:rsid w:val="009F7C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7CD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D3"/>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7CD3"/>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9F7CD3"/>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9F7CD3"/>
    <w:pPr>
      <w:ind w:left="720"/>
      <w:contextualSpacing/>
    </w:p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qFormat/>
    <w:rsid w:val="009F7CD3"/>
    <w:rPr>
      <w:sz w:val="24"/>
      <w:szCs w:val="24"/>
      <w:lang w:val="en-GB"/>
    </w:rPr>
  </w:style>
  <w:style w:type="paragraph" w:styleId="TOCHeading">
    <w:name w:val="TOC Heading"/>
    <w:basedOn w:val="Heading1"/>
    <w:next w:val="Normal"/>
    <w:uiPriority w:val="39"/>
    <w:unhideWhenUsed/>
    <w:qFormat/>
    <w:rsid w:val="009F7CD3"/>
    <w:pPr>
      <w:outlineLvl w:val="9"/>
    </w:pPr>
    <w:rPr>
      <w:lang w:eastAsia="hu-HU"/>
    </w:rPr>
  </w:style>
  <w:style w:type="character" w:customStyle="1" w:styleId="NoSpacingChar">
    <w:name w:val="No Spacing Char"/>
    <w:link w:val="NoSpacing"/>
    <w:uiPriority w:val="1"/>
    <w:rsid w:val="0026155C"/>
    <w:rPr>
      <w:rFonts w:eastAsia="MS Mincho"/>
    </w:rPr>
  </w:style>
  <w:style w:type="character" w:customStyle="1" w:styleId="HeaderChar">
    <w:name w:val="Header Char"/>
    <w:link w:val="Header"/>
    <w:uiPriority w:val="99"/>
    <w:rsid w:val="0026155C"/>
    <w:rPr>
      <w:sz w:val="24"/>
      <w:szCs w:val="24"/>
    </w:rPr>
  </w:style>
  <w:style w:type="character" w:customStyle="1" w:styleId="FooterChar">
    <w:name w:val="Footer Char"/>
    <w:link w:val="Footer"/>
    <w:uiPriority w:val="99"/>
    <w:rsid w:val="0026155C"/>
    <w:rPr>
      <w:sz w:val="24"/>
      <w:szCs w:val="24"/>
    </w:rPr>
  </w:style>
  <w:style w:type="character" w:customStyle="1" w:styleId="NoneA">
    <w:name w:val="None A"/>
    <w:rsid w:val="0026155C"/>
  </w:style>
  <w:style w:type="paragraph" w:styleId="Footer">
    <w:name w:val="footer"/>
    <w:basedOn w:val="Normal"/>
    <w:link w:val="FooterChar"/>
    <w:uiPriority w:val="99"/>
    <w:unhideWhenUsed/>
    <w:rsid w:val="0026155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2615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155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26155C"/>
    <w:rPr>
      <w:rFonts w:ascii="Times New Roman" w:eastAsia="Times New Roman" w:hAnsi="Times New Roman" w:cs="Times New Roman"/>
      <w:sz w:val="24"/>
      <w:szCs w:val="24"/>
    </w:rPr>
  </w:style>
  <w:style w:type="paragraph" w:styleId="NoSpacing">
    <w:name w:val="No Spacing"/>
    <w:link w:val="NoSpacingChar"/>
    <w:uiPriority w:val="1"/>
    <w:qFormat/>
    <w:rsid w:val="0026155C"/>
    <w:pPr>
      <w:spacing w:after="0" w:line="240" w:lineRule="auto"/>
    </w:pPr>
    <w:rPr>
      <w:rFonts w:eastAsia="MS Mincho"/>
    </w:rPr>
  </w:style>
  <w:style w:type="paragraph" w:customStyle="1" w:styleId="Title1">
    <w:name w:val="Title 1"/>
    <w:basedOn w:val="Normal"/>
    <w:rsid w:val="0026155C"/>
    <w:pPr>
      <w:tabs>
        <w:tab w:val="left" w:pos="601"/>
        <w:tab w:val="left" w:pos="1202"/>
      </w:tabs>
      <w:spacing w:line="-480" w:lineRule="auto"/>
      <w:jc w:val="both"/>
    </w:pPr>
    <w:rPr>
      <w:rFonts w:ascii="Arial" w:hAnsi="Arial"/>
      <w:b/>
      <w:sz w:val="28"/>
      <w:szCs w:val="20"/>
      <w:lang w:val="en-GB"/>
    </w:rPr>
  </w:style>
  <w:style w:type="character" w:styleId="PageNumber">
    <w:name w:val="page number"/>
    <w:uiPriority w:val="99"/>
    <w:semiHidden/>
    <w:unhideWhenUsed/>
    <w:rsid w:val="0026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Alhamran, Feras GIZ JO</dc:creator>
  <cp:keywords/>
  <dc:description/>
  <cp:lastModifiedBy>Alhamran, Feras GIZ JO</cp:lastModifiedBy>
  <cp:revision>1</cp:revision>
  <dcterms:created xsi:type="dcterms:W3CDTF">2020-02-14T18:21:00Z</dcterms:created>
  <dcterms:modified xsi:type="dcterms:W3CDTF">2020-02-14T18:22:00Z</dcterms:modified>
</cp:coreProperties>
</file>