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44C1" w14:textId="512E0C46" w:rsidR="0037019F" w:rsidRPr="00C07A16" w:rsidRDefault="00270908" w:rsidP="0037019F">
      <w:pPr>
        <w:rPr>
          <w:rFonts w:asciiTheme="minorBidi" w:hAnsiTheme="minorBidi"/>
          <w:b/>
          <w:bCs/>
          <w:sz w:val="24"/>
          <w:szCs w:val="24"/>
        </w:rPr>
      </w:pPr>
      <w:bookmarkStart w:id="0" w:name="_GoBack"/>
      <w:r w:rsidRPr="00C07A16">
        <w:rPr>
          <w:rFonts w:asciiTheme="minorBidi" w:hAnsiTheme="minorBidi"/>
          <w:noProof/>
          <w:rtl/>
          <w:lang w:val="en-US"/>
        </w:rPr>
        <w:drawing>
          <wp:anchor distT="0" distB="0" distL="114300" distR="114300" simplePos="0" relativeHeight="251659264" behindDoc="0" locked="0" layoutInCell="1" allowOverlap="1" wp14:anchorId="302EEF71" wp14:editId="27372350">
            <wp:simplePos x="0" y="0"/>
            <wp:positionH relativeFrom="column">
              <wp:posOffset>-483235</wp:posOffset>
            </wp:positionH>
            <wp:positionV relativeFrom="paragraph">
              <wp:posOffset>0</wp:posOffset>
            </wp:positionV>
            <wp:extent cx="6982460" cy="4433570"/>
            <wp:effectExtent l="0" t="0" r="8890" b="5080"/>
            <wp:wrapThrough wrapText="bothSides">
              <wp:wrapPolygon edited="0">
                <wp:start x="0" y="0"/>
                <wp:lineTo x="0" y="21532"/>
                <wp:lineTo x="21569" y="21532"/>
                <wp:lineTo x="215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7">
                      <a:extLst>
                        <a:ext uri="{28A0092B-C50C-407E-A947-70E740481C1C}">
                          <a14:useLocalDpi xmlns:a14="http://schemas.microsoft.com/office/drawing/2010/main" val="0"/>
                        </a:ext>
                      </a:extLst>
                    </a:blip>
                    <a:stretch>
                      <a:fillRect/>
                    </a:stretch>
                  </pic:blipFill>
                  <pic:spPr>
                    <a:xfrm>
                      <a:off x="0" y="0"/>
                      <a:ext cx="6982460" cy="4433570"/>
                    </a:xfrm>
                    <a:prstGeom prst="rect">
                      <a:avLst/>
                    </a:prstGeom>
                  </pic:spPr>
                </pic:pic>
              </a:graphicData>
            </a:graphic>
            <wp14:sizeRelH relativeFrom="page">
              <wp14:pctWidth>0</wp14:pctWidth>
            </wp14:sizeRelH>
            <wp14:sizeRelV relativeFrom="page">
              <wp14:pctHeight>0</wp14:pctHeight>
            </wp14:sizeRelV>
          </wp:anchor>
        </w:drawing>
      </w:r>
      <w:r w:rsidR="0037019F" w:rsidRPr="00C07A16">
        <w:rPr>
          <w:rFonts w:asciiTheme="minorBidi" w:hAnsiTheme="minorBidi"/>
          <w:b/>
          <w:bCs/>
          <w:noProof/>
          <w:sz w:val="24"/>
          <w:szCs w:val="24"/>
          <w:lang w:val="en-US"/>
        </w:rPr>
        <mc:AlternateContent>
          <mc:Choice Requires="wps">
            <w:drawing>
              <wp:anchor distT="45720" distB="45720" distL="114300" distR="114300" simplePos="0" relativeHeight="251661312" behindDoc="0" locked="0" layoutInCell="1" allowOverlap="1" wp14:anchorId="6D3D24DF" wp14:editId="5A3B7E8D">
                <wp:simplePos x="0" y="0"/>
                <wp:positionH relativeFrom="column">
                  <wp:posOffset>357423</wp:posOffset>
                </wp:positionH>
                <wp:positionV relativeFrom="paragraph">
                  <wp:posOffset>2483043</wp:posOffset>
                </wp:positionV>
                <wp:extent cx="56368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404620"/>
                        </a:xfrm>
                        <a:prstGeom prst="rect">
                          <a:avLst/>
                        </a:prstGeom>
                        <a:noFill/>
                        <a:ln w="9525">
                          <a:noFill/>
                          <a:miter lim="800000"/>
                          <a:headEnd/>
                          <a:tailEnd/>
                        </a:ln>
                      </wps:spPr>
                      <wps:txbx>
                        <w:txbxContent>
                          <w:p w14:paraId="2405B98F" w14:textId="2C3BBF02" w:rsidR="0037019F" w:rsidRPr="0037019F" w:rsidRDefault="0037019F" w:rsidP="0037019F">
                            <w:pPr>
                              <w:rPr>
                                <w:b/>
                                <w:bCs/>
                                <w:color w:val="FFFFFF" w:themeColor="background1"/>
                                <w:sz w:val="36"/>
                                <w:szCs w:val="36"/>
                              </w:rPr>
                            </w:pPr>
                            <w:r w:rsidRPr="0037019F">
                              <w:rPr>
                                <w:b/>
                                <w:bCs/>
                                <w:color w:val="FFFFFF" w:themeColor="background1"/>
                                <w:sz w:val="36"/>
                                <w:szCs w:val="36"/>
                              </w:rPr>
                              <w:t>Notes on how to reconcile both TVSDC and NQF by laws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D24DF" id="_x0000_t202" coordsize="21600,21600" o:spt="202" path="m,l,21600r21600,l21600,xe">
                <v:stroke joinstyle="miter"/>
                <v:path gradientshapeok="t" o:connecttype="rect"/>
              </v:shapetype>
              <v:shape id="Text Box 2" o:spid="_x0000_s1026" type="#_x0000_t202" style="position:absolute;margin-left:28.15pt;margin-top:195.5pt;width:443.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" filled="f" stroked="f">
                <v:textbox style="mso-fit-shape-to-text:t">
                  <w:txbxContent>
                    <w:p w14:paraId="2405B98F" w14:textId="2C3BBF02" w:rsidR="0037019F" w:rsidRPr="0037019F" w:rsidRDefault="0037019F" w:rsidP="0037019F">
                      <w:pPr>
                        <w:rPr>
                          <w:b/>
                          <w:bCs/>
                          <w:color w:val="FFFFFF" w:themeColor="background1"/>
                          <w:sz w:val="36"/>
                          <w:szCs w:val="36"/>
                        </w:rPr>
                      </w:pPr>
                      <w:r w:rsidRPr="0037019F">
                        <w:rPr>
                          <w:b/>
                          <w:bCs/>
                          <w:color w:val="FFFFFF" w:themeColor="background1"/>
                          <w:sz w:val="36"/>
                          <w:szCs w:val="36"/>
                        </w:rPr>
                        <w:t>Notes on how to reconcile both TVSDC and NQF by laws</w:t>
                      </w:r>
                    </w:p>
                  </w:txbxContent>
                </v:textbox>
                <w10:wrap type="square"/>
              </v:shape>
            </w:pict>
          </mc:Fallback>
        </mc:AlternateContent>
      </w:r>
    </w:p>
    <w:p w14:paraId="5AD6E807" w14:textId="1585AA88" w:rsidR="0037019F" w:rsidRPr="00C07A16" w:rsidRDefault="0037019F" w:rsidP="0037019F">
      <w:pPr>
        <w:rPr>
          <w:rFonts w:asciiTheme="minorBidi" w:hAnsiTheme="minorBidi"/>
          <w:b/>
          <w:bCs/>
          <w:sz w:val="24"/>
          <w:szCs w:val="24"/>
        </w:rPr>
      </w:pPr>
    </w:p>
    <w:p w14:paraId="13C611F9" w14:textId="1F864DCC" w:rsidR="0037019F" w:rsidRPr="00C07A16" w:rsidRDefault="0037019F" w:rsidP="0037019F">
      <w:pPr>
        <w:rPr>
          <w:rFonts w:asciiTheme="minorBidi" w:hAnsiTheme="minorBidi"/>
          <w:b/>
          <w:bCs/>
          <w:sz w:val="24"/>
          <w:szCs w:val="24"/>
        </w:rPr>
      </w:pPr>
    </w:p>
    <w:p w14:paraId="5C399754" w14:textId="4E480B60" w:rsidR="0037019F" w:rsidRPr="00C07A16" w:rsidRDefault="0037019F" w:rsidP="0037019F">
      <w:pPr>
        <w:rPr>
          <w:rFonts w:asciiTheme="minorBidi" w:hAnsiTheme="minorBidi"/>
          <w:b/>
          <w:bCs/>
          <w:sz w:val="24"/>
          <w:szCs w:val="24"/>
        </w:rPr>
      </w:pPr>
    </w:p>
    <w:p w14:paraId="521C1313" w14:textId="6E173878" w:rsidR="0037019F" w:rsidRPr="00C07A16" w:rsidRDefault="0037019F" w:rsidP="0037019F">
      <w:pPr>
        <w:rPr>
          <w:rFonts w:asciiTheme="minorBidi" w:hAnsiTheme="minorBidi"/>
          <w:b/>
          <w:bCs/>
          <w:sz w:val="24"/>
          <w:szCs w:val="24"/>
        </w:rPr>
      </w:pPr>
    </w:p>
    <w:p w14:paraId="23E4D97D" w14:textId="3DECB9F0" w:rsidR="0037019F" w:rsidRPr="00C07A16" w:rsidRDefault="0037019F" w:rsidP="0037019F">
      <w:pPr>
        <w:rPr>
          <w:rFonts w:asciiTheme="minorBidi" w:hAnsiTheme="minorBidi"/>
          <w:b/>
          <w:bCs/>
          <w:sz w:val="24"/>
          <w:szCs w:val="24"/>
        </w:rPr>
      </w:pPr>
    </w:p>
    <w:p w14:paraId="2E99B60C" w14:textId="59E9A687" w:rsidR="0037019F" w:rsidRPr="00C07A16" w:rsidRDefault="0037019F" w:rsidP="0037019F">
      <w:pPr>
        <w:rPr>
          <w:rFonts w:asciiTheme="minorBidi" w:hAnsiTheme="minorBidi"/>
          <w:b/>
          <w:bCs/>
          <w:sz w:val="24"/>
          <w:szCs w:val="24"/>
        </w:rPr>
      </w:pPr>
    </w:p>
    <w:p w14:paraId="73A65D69" w14:textId="505A7337" w:rsidR="0037019F" w:rsidRPr="00C07A16" w:rsidRDefault="0037019F" w:rsidP="0037019F">
      <w:pPr>
        <w:rPr>
          <w:rFonts w:asciiTheme="minorBidi" w:hAnsiTheme="minorBidi"/>
          <w:b/>
          <w:bCs/>
          <w:sz w:val="24"/>
          <w:szCs w:val="24"/>
        </w:rPr>
      </w:pPr>
    </w:p>
    <w:p w14:paraId="3902D860" w14:textId="3D33BB15" w:rsidR="0037019F" w:rsidRPr="00C07A16" w:rsidRDefault="0037019F" w:rsidP="0037019F">
      <w:pPr>
        <w:rPr>
          <w:rFonts w:asciiTheme="minorBidi" w:hAnsiTheme="minorBidi"/>
          <w:b/>
          <w:bCs/>
          <w:sz w:val="24"/>
          <w:szCs w:val="24"/>
        </w:rPr>
      </w:pPr>
    </w:p>
    <w:p w14:paraId="049CF72A" w14:textId="14C2B444" w:rsidR="0037019F" w:rsidRPr="00C07A16" w:rsidRDefault="0037019F" w:rsidP="0037019F">
      <w:pPr>
        <w:rPr>
          <w:rFonts w:asciiTheme="minorBidi" w:hAnsiTheme="minorBidi"/>
          <w:b/>
          <w:bCs/>
          <w:sz w:val="24"/>
          <w:szCs w:val="24"/>
        </w:rPr>
      </w:pPr>
    </w:p>
    <w:p w14:paraId="0C8A5C6A" w14:textId="3307FB77" w:rsidR="0037019F" w:rsidRPr="00C07A16" w:rsidRDefault="0037019F" w:rsidP="0037019F">
      <w:pPr>
        <w:rPr>
          <w:rFonts w:asciiTheme="minorBidi" w:hAnsiTheme="minorBidi"/>
          <w:b/>
          <w:bCs/>
          <w:sz w:val="24"/>
          <w:szCs w:val="24"/>
        </w:rPr>
      </w:pPr>
    </w:p>
    <w:p w14:paraId="6E7A17E7" w14:textId="7C905CE5" w:rsidR="005523D3" w:rsidRPr="00C07A16" w:rsidRDefault="0001372A" w:rsidP="0037019F">
      <w:pPr>
        <w:shd w:val="clear" w:color="auto" w:fill="FFD966" w:themeFill="accent4" w:themeFillTint="99"/>
        <w:rPr>
          <w:rFonts w:asciiTheme="minorBidi" w:hAnsiTheme="minorBidi"/>
          <w:b/>
          <w:bCs/>
          <w:sz w:val="24"/>
          <w:szCs w:val="24"/>
        </w:rPr>
      </w:pPr>
      <w:r w:rsidRPr="00C07A16">
        <w:rPr>
          <w:rFonts w:asciiTheme="minorBidi" w:hAnsiTheme="minorBidi"/>
          <w:b/>
          <w:bCs/>
          <w:sz w:val="24"/>
          <w:szCs w:val="24"/>
        </w:rPr>
        <w:lastRenderedPageBreak/>
        <w:t xml:space="preserve">Notes </w:t>
      </w:r>
      <w:r w:rsidR="0037019F" w:rsidRPr="00C07A16">
        <w:rPr>
          <w:rFonts w:asciiTheme="minorBidi" w:hAnsiTheme="minorBidi"/>
          <w:b/>
          <w:bCs/>
          <w:sz w:val="24"/>
          <w:szCs w:val="24"/>
        </w:rPr>
        <w:t>on</w:t>
      </w:r>
      <w:r w:rsidRPr="00C07A16">
        <w:rPr>
          <w:rFonts w:asciiTheme="minorBidi" w:hAnsiTheme="minorBidi"/>
          <w:b/>
          <w:bCs/>
          <w:sz w:val="24"/>
          <w:szCs w:val="24"/>
        </w:rPr>
        <w:t xml:space="preserve"> how to reconcile both TVSDC and NQF by laws</w:t>
      </w:r>
    </w:p>
    <w:p w14:paraId="6BCA0BFE" w14:textId="66A53165" w:rsidR="00106619" w:rsidRPr="00C07A16" w:rsidRDefault="00332677">
      <w:pPr>
        <w:rPr>
          <w:rFonts w:asciiTheme="minorBidi" w:hAnsiTheme="minorBidi"/>
          <w:b/>
          <w:bCs/>
          <w:sz w:val="24"/>
          <w:szCs w:val="24"/>
        </w:rPr>
      </w:pPr>
      <w:r w:rsidRPr="00C07A16">
        <w:rPr>
          <w:rFonts w:asciiTheme="minorBidi" w:hAnsiTheme="minorBidi"/>
          <w:b/>
          <w:bCs/>
          <w:sz w:val="24"/>
          <w:szCs w:val="24"/>
        </w:rPr>
        <w:t xml:space="preserve">1. </w:t>
      </w:r>
      <w:r w:rsidR="00106619" w:rsidRPr="00C07A16">
        <w:rPr>
          <w:rFonts w:asciiTheme="minorBidi" w:hAnsiTheme="minorBidi"/>
          <w:b/>
          <w:bCs/>
          <w:sz w:val="24"/>
          <w:szCs w:val="24"/>
        </w:rPr>
        <w:t>What is NQF and its implications?</w:t>
      </w:r>
    </w:p>
    <w:p w14:paraId="057B220A" w14:textId="3EB79E9D" w:rsidR="00EF2F92" w:rsidRPr="00C07A16" w:rsidRDefault="00EF2F92">
      <w:pPr>
        <w:rPr>
          <w:rFonts w:asciiTheme="minorBidi" w:hAnsiTheme="minorBidi"/>
          <w:b/>
          <w:bCs/>
          <w:i/>
          <w:iCs/>
          <w:sz w:val="24"/>
          <w:szCs w:val="24"/>
        </w:rPr>
      </w:pPr>
      <w:r w:rsidRPr="00C07A16">
        <w:rPr>
          <w:rFonts w:asciiTheme="minorBidi" w:hAnsiTheme="minorBidi"/>
          <w:b/>
          <w:bCs/>
          <w:i/>
          <w:iCs/>
          <w:sz w:val="24"/>
          <w:szCs w:val="24"/>
        </w:rPr>
        <w:t>Right now in Jordan, we have qualifications and certificates issued by 3 different authorities (Higher Education, General Education and TVET).</w:t>
      </w:r>
    </w:p>
    <w:p w14:paraId="52FB2F0B" w14:textId="1BC35E87" w:rsidR="00EF2F92" w:rsidRPr="00C07A16" w:rsidRDefault="00EF2F92">
      <w:pPr>
        <w:rPr>
          <w:rFonts w:asciiTheme="minorBidi" w:hAnsiTheme="minorBidi"/>
          <w:b/>
          <w:bCs/>
          <w:i/>
          <w:iCs/>
          <w:sz w:val="24"/>
          <w:szCs w:val="24"/>
        </w:rPr>
      </w:pPr>
      <w:r w:rsidRPr="00C07A16">
        <w:rPr>
          <w:rFonts w:asciiTheme="minorBidi" w:hAnsiTheme="minorBidi"/>
          <w:b/>
          <w:bCs/>
          <w:i/>
          <w:iCs/>
          <w:sz w:val="24"/>
          <w:szCs w:val="24"/>
        </w:rPr>
        <w:t>These follow different standards, methodologies (teacher centered/no relation to labour market demands etc) and many challenges</w:t>
      </w:r>
    </w:p>
    <w:p w14:paraId="310E1066" w14:textId="4F6DDE5C" w:rsidR="00EF2F92" w:rsidRPr="00C07A16" w:rsidRDefault="00EF2F92">
      <w:pPr>
        <w:rPr>
          <w:rFonts w:asciiTheme="minorBidi" w:hAnsiTheme="minorBidi"/>
          <w:b/>
          <w:bCs/>
          <w:i/>
          <w:iCs/>
          <w:sz w:val="24"/>
          <w:szCs w:val="24"/>
        </w:rPr>
      </w:pPr>
      <w:r w:rsidRPr="00C07A16">
        <w:rPr>
          <w:rFonts w:asciiTheme="minorBidi" w:hAnsiTheme="minorBidi"/>
          <w:b/>
          <w:bCs/>
          <w:i/>
          <w:iCs/>
          <w:sz w:val="24"/>
          <w:szCs w:val="24"/>
        </w:rPr>
        <w:t>So, why not bring all these qualifications into one common understanding of standards, policies and testing/awarding of qualifications or certificates and ensure that labour market have a say on all these issues?</w:t>
      </w:r>
    </w:p>
    <w:p w14:paraId="413AF34E" w14:textId="77777777" w:rsidR="00106619" w:rsidRPr="00C07A16" w:rsidRDefault="00ED6401" w:rsidP="00B8573C">
      <w:pPr>
        <w:rPr>
          <w:rFonts w:asciiTheme="minorBidi" w:hAnsiTheme="minorBidi"/>
          <w:sz w:val="24"/>
          <w:szCs w:val="24"/>
        </w:rPr>
      </w:pPr>
      <w:r w:rsidRPr="00C07A16">
        <w:rPr>
          <w:rFonts w:asciiTheme="minorBidi" w:hAnsiTheme="minorBidi"/>
          <w:sz w:val="24"/>
          <w:szCs w:val="24"/>
        </w:rPr>
        <w:t>National Qualifications Framework is</w:t>
      </w:r>
      <w:r w:rsidR="00B8573C" w:rsidRPr="00C07A16">
        <w:rPr>
          <w:rFonts w:asciiTheme="minorBidi" w:hAnsiTheme="minorBidi"/>
          <w:sz w:val="24"/>
          <w:szCs w:val="24"/>
        </w:rPr>
        <w:t>, in</w:t>
      </w:r>
      <w:r w:rsidRPr="00C07A16">
        <w:rPr>
          <w:rFonts w:asciiTheme="minorBidi" w:hAnsiTheme="minorBidi"/>
          <w:sz w:val="24"/>
          <w:szCs w:val="24"/>
        </w:rPr>
        <w:t xml:space="preserve"> the simplest understanding</w:t>
      </w:r>
      <w:r w:rsidR="00B8573C" w:rsidRPr="00C07A16">
        <w:rPr>
          <w:rFonts w:asciiTheme="minorBidi" w:hAnsiTheme="minorBidi"/>
          <w:sz w:val="24"/>
          <w:szCs w:val="24"/>
        </w:rPr>
        <w:t xml:space="preserve">: </w:t>
      </w:r>
      <w:r w:rsidRPr="00C07A16">
        <w:rPr>
          <w:rFonts w:asciiTheme="minorBidi" w:hAnsiTheme="minorBidi"/>
          <w:sz w:val="24"/>
          <w:szCs w:val="24"/>
        </w:rPr>
        <w:t xml:space="preserve"> </w:t>
      </w:r>
      <w:r w:rsidRPr="00C07A16">
        <w:rPr>
          <w:rFonts w:asciiTheme="minorBidi" w:hAnsiTheme="minorBidi"/>
          <w:b/>
          <w:bCs/>
          <w:sz w:val="24"/>
          <w:szCs w:val="24"/>
        </w:rPr>
        <w:t>it’s the organization of all qualifications into one system</w:t>
      </w:r>
      <w:r w:rsidRPr="00C07A16">
        <w:rPr>
          <w:rFonts w:asciiTheme="minorBidi" w:hAnsiTheme="minorBidi"/>
          <w:sz w:val="24"/>
          <w:szCs w:val="24"/>
        </w:rPr>
        <w:t>.</w:t>
      </w:r>
    </w:p>
    <w:p w14:paraId="0D94BDB2" w14:textId="77777777" w:rsidR="00ED6401" w:rsidRPr="00C07A16" w:rsidRDefault="00ED6401" w:rsidP="00ED6401">
      <w:pPr>
        <w:rPr>
          <w:rFonts w:asciiTheme="minorBidi" w:hAnsiTheme="minorBidi"/>
          <w:sz w:val="24"/>
          <w:szCs w:val="24"/>
        </w:rPr>
      </w:pPr>
      <w:r w:rsidRPr="00C07A16">
        <w:rPr>
          <w:rFonts w:asciiTheme="minorBidi" w:hAnsiTheme="minorBidi"/>
          <w:sz w:val="24"/>
          <w:szCs w:val="24"/>
        </w:rPr>
        <w:t xml:space="preserve">Its like the “frame” and not the building itself- the frame gives “shape and strength to the whole building”.  </w:t>
      </w:r>
    </w:p>
    <w:p w14:paraId="1E3E1EA6" w14:textId="77777777" w:rsidR="00ED6401" w:rsidRPr="00C07A16" w:rsidRDefault="00ED6401" w:rsidP="00ED6401">
      <w:pPr>
        <w:rPr>
          <w:rFonts w:asciiTheme="minorBidi" w:hAnsiTheme="minorBidi"/>
          <w:sz w:val="24"/>
          <w:szCs w:val="24"/>
        </w:rPr>
      </w:pPr>
      <w:r w:rsidRPr="00C07A16">
        <w:rPr>
          <w:rFonts w:asciiTheme="minorBidi" w:hAnsiTheme="minorBidi"/>
          <w:sz w:val="24"/>
          <w:szCs w:val="24"/>
        </w:rPr>
        <w:t>So a national framework gives- standards, shape, overall consistency</w:t>
      </w:r>
      <w:r w:rsidR="00BB62B4" w:rsidRPr="00C07A16">
        <w:rPr>
          <w:rFonts w:asciiTheme="minorBidi" w:hAnsiTheme="minorBidi"/>
          <w:sz w:val="24"/>
          <w:szCs w:val="24"/>
        </w:rPr>
        <w:t xml:space="preserve"> and most importantly a general recognition of its quality</w:t>
      </w:r>
      <w:r w:rsidRPr="00C07A16">
        <w:rPr>
          <w:rFonts w:asciiTheme="minorBidi" w:hAnsiTheme="minorBidi"/>
          <w:sz w:val="24"/>
          <w:szCs w:val="24"/>
        </w:rPr>
        <w:t xml:space="preserve"> to all the </w:t>
      </w:r>
      <w:r w:rsidR="00BB62B4" w:rsidRPr="00C07A16">
        <w:rPr>
          <w:rFonts w:asciiTheme="minorBidi" w:hAnsiTheme="minorBidi"/>
          <w:sz w:val="24"/>
          <w:szCs w:val="24"/>
        </w:rPr>
        <w:t>qualifications in one direction.</w:t>
      </w:r>
    </w:p>
    <w:p w14:paraId="502A76A2" w14:textId="3E5BA101" w:rsidR="007F76E9" w:rsidRPr="00C07A16" w:rsidRDefault="00332677" w:rsidP="007F76E9">
      <w:pPr>
        <w:autoSpaceDE w:val="0"/>
        <w:autoSpaceDN w:val="0"/>
        <w:adjustRightInd w:val="0"/>
        <w:spacing w:after="0" w:line="240" w:lineRule="auto"/>
        <w:rPr>
          <w:rFonts w:asciiTheme="minorBidi" w:hAnsiTheme="minorBidi"/>
          <w:b/>
          <w:bCs/>
          <w:sz w:val="24"/>
          <w:szCs w:val="24"/>
        </w:rPr>
      </w:pPr>
      <w:r w:rsidRPr="00C07A16">
        <w:rPr>
          <w:rFonts w:asciiTheme="minorBidi" w:hAnsiTheme="minorBidi"/>
          <w:b/>
          <w:bCs/>
          <w:sz w:val="24"/>
          <w:szCs w:val="24"/>
        </w:rPr>
        <w:t>2. The Scope of NQF</w:t>
      </w:r>
    </w:p>
    <w:p w14:paraId="4FC1737F" w14:textId="4FDB010B" w:rsidR="00BB62B4" w:rsidRPr="00C07A16" w:rsidRDefault="00BB62B4" w:rsidP="00AE58B9">
      <w:pPr>
        <w:autoSpaceDE w:val="0"/>
        <w:autoSpaceDN w:val="0"/>
        <w:adjustRightInd w:val="0"/>
        <w:spacing w:after="0" w:line="240" w:lineRule="auto"/>
        <w:rPr>
          <w:rFonts w:asciiTheme="minorBidi" w:hAnsiTheme="minorBidi"/>
          <w:sz w:val="24"/>
          <w:szCs w:val="24"/>
        </w:rPr>
      </w:pPr>
      <w:r w:rsidRPr="00C07A16">
        <w:rPr>
          <w:rFonts w:asciiTheme="minorBidi" w:hAnsiTheme="minorBidi"/>
          <w:sz w:val="24"/>
          <w:szCs w:val="24"/>
        </w:rPr>
        <w:t>Some NQFs are only related to TVET (sometimes called NVQFs) while other countries have a unified system of all learning (HE, GE and TVET- both formal and informal</w:t>
      </w:r>
      <w:r w:rsidR="007F76E9" w:rsidRPr="00C07A16">
        <w:rPr>
          <w:rFonts w:asciiTheme="minorBidi" w:hAnsiTheme="minorBidi"/>
          <w:sz w:val="24"/>
          <w:szCs w:val="24"/>
        </w:rPr>
        <w:t xml:space="preserve">- </w:t>
      </w:r>
      <w:r w:rsidR="007F76E9" w:rsidRPr="00C07A16">
        <w:rPr>
          <w:rFonts w:asciiTheme="minorBidi" w:hAnsiTheme="minorBidi"/>
          <w:sz w:val="24"/>
          <w:szCs w:val="24"/>
          <w:highlight w:val="yellow"/>
        </w:rPr>
        <w:t>all forms and levels of</w:t>
      </w:r>
      <w:r w:rsidR="00AE58B9" w:rsidRPr="00C07A16">
        <w:rPr>
          <w:rFonts w:asciiTheme="minorBidi" w:hAnsiTheme="minorBidi"/>
          <w:sz w:val="24"/>
          <w:szCs w:val="24"/>
          <w:highlight w:val="yellow"/>
        </w:rPr>
        <w:t xml:space="preserve"> </w:t>
      </w:r>
      <w:r w:rsidR="007F76E9" w:rsidRPr="00C07A16">
        <w:rPr>
          <w:rFonts w:asciiTheme="minorBidi" w:hAnsiTheme="minorBidi"/>
          <w:sz w:val="24"/>
          <w:szCs w:val="24"/>
          <w:highlight w:val="yellow"/>
        </w:rPr>
        <w:t>training</w:t>
      </w:r>
      <w:r w:rsidRPr="00C07A16">
        <w:rPr>
          <w:rFonts w:asciiTheme="minorBidi" w:hAnsiTheme="minorBidi"/>
          <w:sz w:val="24"/>
          <w:szCs w:val="24"/>
        </w:rPr>
        <w:t>).</w:t>
      </w:r>
    </w:p>
    <w:p w14:paraId="4B78B3FD" w14:textId="77777777" w:rsidR="007F76E9" w:rsidRPr="00C07A16" w:rsidRDefault="007F76E9" w:rsidP="007F76E9">
      <w:pPr>
        <w:autoSpaceDE w:val="0"/>
        <w:autoSpaceDN w:val="0"/>
        <w:adjustRightInd w:val="0"/>
        <w:spacing w:after="0" w:line="240" w:lineRule="auto"/>
        <w:rPr>
          <w:rFonts w:asciiTheme="minorBidi" w:hAnsiTheme="minorBidi"/>
          <w:sz w:val="24"/>
          <w:szCs w:val="24"/>
        </w:rPr>
      </w:pPr>
    </w:p>
    <w:p w14:paraId="709DDD7B" w14:textId="77777777" w:rsidR="00BB62B4" w:rsidRPr="00C07A16" w:rsidRDefault="00BB62B4" w:rsidP="00BB62B4">
      <w:pPr>
        <w:rPr>
          <w:rFonts w:asciiTheme="minorBidi" w:hAnsiTheme="minorBidi"/>
          <w:sz w:val="24"/>
          <w:szCs w:val="24"/>
        </w:rPr>
      </w:pPr>
      <w:r w:rsidRPr="00C07A16">
        <w:rPr>
          <w:rFonts w:asciiTheme="minorBidi" w:hAnsiTheme="minorBidi"/>
          <w:sz w:val="24"/>
          <w:szCs w:val="24"/>
        </w:rPr>
        <w:t xml:space="preserve">In Jordan, the NQF by law states: </w:t>
      </w:r>
      <w:r w:rsidRPr="00C07A16">
        <w:rPr>
          <w:rFonts w:asciiTheme="minorBidi" w:hAnsiTheme="minorBidi"/>
          <w:i/>
          <w:iCs/>
          <w:sz w:val="24"/>
          <w:szCs w:val="24"/>
        </w:rPr>
        <w:t>The provisions of this bylaw shall apply to all awarding bodies in the kingdom</w:t>
      </w:r>
      <w:r w:rsidRPr="00C07A16">
        <w:rPr>
          <w:rFonts w:asciiTheme="minorBidi" w:hAnsiTheme="minorBidi"/>
          <w:sz w:val="24"/>
          <w:szCs w:val="24"/>
        </w:rPr>
        <w:t xml:space="preserve"> (so it’s a unified NQF like Wales, Ireland, UK, South Africa, Australia etc).  </w:t>
      </w:r>
    </w:p>
    <w:p w14:paraId="73469916" w14:textId="5D80BF6C" w:rsidR="007F76E9" w:rsidRPr="00C07A16" w:rsidRDefault="00EB72F5" w:rsidP="00B8573C">
      <w:pPr>
        <w:rPr>
          <w:rFonts w:asciiTheme="minorBidi" w:hAnsiTheme="minorBidi"/>
          <w:sz w:val="24"/>
          <w:szCs w:val="24"/>
        </w:rPr>
      </w:pPr>
      <w:r w:rsidRPr="00C07A16">
        <w:rPr>
          <w:rFonts w:asciiTheme="minorBidi" w:hAnsiTheme="minorBidi"/>
          <w:sz w:val="24"/>
          <w:szCs w:val="24"/>
        </w:rPr>
        <w:t>The NQFs can be a “loose regulatory frameworks” (</w:t>
      </w:r>
      <w:r w:rsidR="00B8573C" w:rsidRPr="00C07A16">
        <w:rPr>
          <w:rFonts w:asciiTheme="minorBidi" w:hAnsiTheme="minorBidi"/>
          <w:sz w:val="24"/>
          <w:szCs w:val="24"/>
        </w:rPr>
        <w:t>as in Wales or UK</w:t>
      </w:r>
      <w:r w:rsidRPr="00C07A16">
        <w:rPr>
          <w:rFonts w:asciiTheme="minorBidi" w:hAnsiTheme="minorBidi"/>
          <w:sz w:val="24"/>
          <w:szCs w:val="24"/>
        </w:rPr>
        <w:t>) or very tight and prescriptive regulatory frameworks</w:t>
      </w:r>
      <w:r w:rsidR="00B8573C" w:rsidRPr="00C07A16">
        <w:rPr>
          <w:rFonts w:asciiTheme="minorBidi" w:hAnsiTheme="minorBidi"/>
          <w:sz w:val="24"/>
          <w:szCs w:val="24"/>
        </w:rPr>
        <w:t xml:space="preserve"> (as in Ireland or South Africa). </w:t>
      </w:r>
    </w:p>
    <w:p w14:paraId="2F3C8314" w14:textId="07BCAB14" w:rsidR="00AC4FA3" w:rsidRPr="00C07A16" w:rsidRDefault="00AC4FA3" w:rsidP="00B8573C">
      <w:pPr>
        <w:rPr>
          <w:rFonts w:asciiTheme="minorBidi" w:hAnsiTheme="minorBidi"/>
          <w:sz w:val="24"/>
          <w:szCs w:val="24"/>
        </w:rPr>
      </w:pPr>
      <w:r w:rsidRPr="00C07A16">
        <w:rPr>
          <w:rFonts w:asciiTheme="minorBidi" w:hAnsiTheme="minorBidi"/>
          <w:sz w:val="24"/>
          <w:szCs w:val="24"/>
        </w:rPr>
        <w:t>A quick review of the two by-laws point that both the NQF by law is quite a ‘loose’ regulatory approach (where the AQACHEI takes regulatory responsibility of all overall polices/standards and levels (1-10) while other QA bodies/awarding bodies are mandated to detail the policies into implementation/and self-regulation aligned to NQF policies.</w:t>
      </w:r>
    </w:p>
    <w:p w14:paraId="766BE649" w14:textId="77777777" w:rsidR="00BB62B4" w:rsidRPr="00C07A16" w:rsidRDefault="00B8573C" w:rsidP="007F76E9">
      <w:pPr>
        <w:rPr>
          <w:rFonts w:asciiTheme="minorBidi" w:hAnsiTheme="minorBidi"/>
          <w:sz w:val="24"/>
          <w:szCs w:val="24"/>
        </w:rPr>
      </w:pPr>
      <w:r w:rsidRPr="00C07A16">
        <w:rPr>
          <w:rFonts w:asciiTheme="minorBidi" w:hAnsiTheme="minorBidi"/>
          <w:sz w:val="24"/>
          <w:szCs w:val="24"/>
        </w:rPr>
        <w:t xml:space="preserve">Very tight frameworks are difficult to be implemented as experiences show </w:t>
      </w:r>
      <w:r w:rsidR="007F76E9" w:rsidRPr="00C07A16">
        <w:rPr>
          <w:rFonts w:asciiTheme="minorBidi" w:hAnsiTheme="minorBidi"/>
          <w:sz w:val="24"/>
          <w:szCs w:val="24"/>
        </w:rPr>
        <w:t xml:space="preserve">because of </w:t>
      </w:r>
      <w:r w:rsidRPr="00C07A16">
        <w:rPr>
          <w:rFonts w:asciiTheme="minorBidi" w:hAnsiTheme="minorBidi"/>
          <w:sz w:val="24"/>
          <w:szCs w:val="24"/>
        </w:rPr>
        <w:t>already well established regulatory bodies (as in the case of Jordan with MoEHE, MoE and MoL</w:t>
      </w:r>
      <w:r w:rsidR="007F76E9" w:rsidRPr="00C07A16">
        <w:rPr>
          <w:rFonts w:asciiTheme="minorBidi" w:hAnsiTheme="minorBidi"/>
          <w:sz w:val="24"/>
          <w:szCs w:val="24"/>
        </w:rPr>
        <w:t>/TVSDC</w:t>
      </w:r>
      <w:r w:rsidRPr="00C07A16">
        <w:rPr>
          <w:rFonts w:asciiTheme="minorBidi" w:hAnsiTheme="minorBidi"/>
          <w:sz w:val="24"/>
          <w:szCs w:val="24"/>
        </w:rPr>
        <w:t xml:space="preserve"> leading different sub sectors of education and training).</w:t>
      </w:r>
      <w:r w:rsidR="007F76E9" w:rsidRPr="00C07A16">
        <w:rPr>
          <w:rFonts w:asciiTheme="minorBidi" w:hAnsiTheme="minorBidi"/>
          <w:sz w:val="24"/>
          <w:szCs w:val="24"/>
        </w:rPr>
        <w:t xml:space="preserve"> </w:t>
      </w:r>
    </w:p>
    <w:p w14:paraId="246E841E" w14:textId="77777777" w:rsidR="00B8573C" w:rsidRPr="00C07A16" w:rsidRDefault="00F15B5A" w:rsidP="00B8573C">
      <w:pPr>
        <w:rPr>
          <w:rFonts w:asciiTheme="minorBidi" w:hAnsiTheme="minorBidi"/>
          <w:sz w:val="24"/>
          <w:szCs w:val="24"/>
        </w:rPr>
      </w:pPr>
      <w:r w:rsidRPr="00C07A16">
        <w:rPr>
          <w:rFonts w:asciiTheme="minorBidi" w:hAnsiTheme="minorBidi"/>
          <w:b/>
          <w:bCs/>
          <w:sz w:val="24"/>
          <w:szCs w:val="24"/>
          <w:highlight w:val="green"/>
        </w:rPr>
        <w:t>Recommendation</w:t>
      </w:r>
      <w:r w:rsidRPr="00C07A16">
        <w:rPr>
          <w:rFonts w:asciiTheme="minorBidi" w:hAnsiTheme="minorBidi"/>
          <w:sz w:val="24"/>
          <w:szCs w:val="24"/>
        </w:rPr>
        <w:t xml:space="preserve">: </w:t>
      </w:r>
      <w:r w:rsidRPr="00C07A16">
        <w:rPr>
          <w:rFonts w:asciiTheme="minorBidi" w:hAnsiTheme="minorBidi"/>
          <w:i/>
          <w:iCs/>
          <w:sz w:val="24"/>
          <w:szCs w:val="24"/>
        </w:rPr>
        <w:t>Incremental implementation</w:t>
      </w:r>
      <w:r w:rsidRPr="00C07A16">
        <w:rPr>
          <w:rFonts w:asciiTheme="minorBidi" w:hAnsiTheme="minorBidi"/>
          <w:sz w:val="24"/>
          <w:szCs w:val="24"/>
        </w:rPr>
        <w:t xml:space="preserve"> is recommended for Jordan as TVQF has already been piloted, most draft policies in place. However, the current capacity of </w:t>
      </w:r>
      <w:r w:rsidRPr="00C07A16">
        <w:rPr>
          <w:rFonts w:asciiTheme="minorBidi" w:hAnsiTheme="minorBidi"/>
          <w:sz w:val="24"/>
          <w:szCs w:val="24"/>
        </w:rPr>
        <w:lastRenderedPageBreak/>
        <w:t xml:space="preserve">TVSDC/CAQA to implement effectively TVQF in the country aligned to NQF standards/polices (which are yet to be developed and </w:t>
      </w:r>
      <w:r w:rsidR="00952661" w:rsidRPr="00C07A16">
        <w:rPr>
          <w:rFonts w:asciiTheme="minorBidi" w:hAnsiTheme="minorBidi"/>
          <w:sz w:val="24"/>
          <w:szCs w:val="24"/>
        </w:rPr>
        <w:t>approved) is something we should immediately address.</w:t>
      </w:r>
    </w:p>
    <w:p w14:paraId="3ECF47A5" w14:textId="14F222D3" w:rsidR="00EA6F1A" w:rsidRPr="00C07A16" w:rsidRDefault="00332677" w:rsidP="00EA6F1A">
      <w:pPr>
        <w:rPr>
          <w:rFonts w:asciiTheme="minorBidi" w:hAnsiTheme="minorBidi"/>
          <w:b/>
          <w:bCs/>
          <w:sz w:val="24"/>
          <w:szCs w:val="24"/>
        </w:rPr>
      </w:pPr>
      <w:r w:rsidRPr="00C07A16">
        <w:rPr>
          <w:rFonts w:asciiTheme="minorBidi" w:hAnsiTheme="minorBidi"/>
          <w:b/>
          <w:bCs/>
          <w:sz w:val="24"/>
          <w:szCs w:val="24"/>
        </w:rPr>
        <w:t xml:space="preserve">3. </w:t>
      </w:r>
      <w:r w:rsidR="00EA6F1A" w:rsidRPr="00C07A16">
        <w:rPr>
          <w:rFonts w:asciiTheme="minorBidi" w:hAnsiTheme="minorBidi"/>
          <w:b/>
          <w:bCs/>
          <w:sz w:val="24"/>
          <w:szCs w:val="24"/>
        </w:rPr>
        <w:t>Governance of NQF</w:t>
      </w:r>
    </w:p>
    <w:p w14:paraId="30FC4921" w14:textId="066F4BD2" w:rsidR="00EA6F1A" w:rsidRPr="00C07A16" w:rsidRDefault="00EA6F1A" w:rsidP="00EA6F1A">
      <w:pPr>
        <w:rPr>
          <w:rFonts w:asciiTheme="minorBidi" w:hAnsiTheme="minorBidi"/>
          <w:sz w:val="24"/>
          <w:szCs w:val="24"/>
        </w:rPr>
      </w:pPr>
      <w:r w:rsidRPr="00C07A16">
        <w:rPr>
          <w:rFonts w:asciiTheme="minorBidi" w:hAnsiTheme="minorBidi"/>
          <w:sz w:val="24"/>
          <w:szCs w:val="24"/>
        </w:rPr>
        <w:t>NQF governance includes all the activities that are purposeful efforts to guide, steer, control and manage NQF development and implementation. Examples include legislation, the roles of implementing agencies and funding</w:t>
      </w:r>
      <w:r w:rsidR="00AC4FA3" w:rsidRPr="00C07A16">
        <w:rPr>
          <w:rFonts w:asciiTheme="minorBidi" w:hAnsiTheme="minorBidi"/>
          <w:sz w:val="24"/>
          <w:szCs w:val="24"/>
        </w:rPr>
        <w:t xml:space="preserve"> (as almost all cases on NQF demonstrate that governance is with a Qualification Authority and funding is almost exclusively by the governments and user fees)</w:t>
      </w:r>
      <w:r w:rsidRPr="00C07A16">
        <w:rPr>
          <w:rFonts w:asciiTheme="minorBidi" w:hAnsiTheme="minorBidi"/>
          <w:sz w:val="24"/>
          <w:szCs w:val="24"/>
        </w:rPr>
        <w:t>.</w:t>
      </w:r>
    </w:p>
    <w:p w14:paraId="6355748E" w14:textId="599BD0BD" w:rsidR="00332677" w:rsidRPr="00C07A16" w:rsidRDefault="00EA6F1A" w:rsidP="00332677">
      <w:pPr>
        <w:rPr>
          <w:rFonts w:asciiTheme="minorBidi" w:hAnsiTheme="minorBidi"/>
          <w:sz w:val="24"/>
          <w:szCs w:val="24"/>
        </w:rPr>
      </w:pPr>
      <w:r w:rsidRPr="00C07A16">
        <w:rPr>
          <w:rFonts w:asciiTheme="minorBidi" w:hAnsiTheme="minorBidi"/>
          <w:b/>
          <w:bCs/>
          <w:sz w:val="24"/>
          <w:szCs w:val="24"/>
          <w:highlight w:val="green"/>
        </w:rPr>
        <w:t>Recommendation</w:t>
      </w:r>
      <w:r w:rsidRPr="00C07A16">
        <w:rPr>
          <w:rFonts w:asciiTheme="minorBidi" w:hAnsiTheme="minorBidi"/>
          <w:sz w:val="24"/>
          <w:szCs w:val="24"/>
        </w:rPr>
        <w:t xml:space="preserve">: While AQCHEI (NQF Board) is ultimately responsible for the governance of NQF, </w:t>
      </w:r>
      <w:r w:rsidR="00A01C6C" w:rsidRPr="00C07A16">
        <w:rPr>
          <w:rFonts w:asciiTheme="minorBidi" w:hAnsiTheme="minorBidi"/>
          <w:sz w:val="24"/>
          <w:szCs w:val="24"/>
        </w:rPr>
        <w:t>as the responsible body for</w:t>
      </w:r>
      <w:r w:rsidR="00332677" w:rsidRPr="00C07A16">
        <w:rPr>
          <w:rFonts w:asciiTheme="minorBidi" w:hAnsiTheme="minorBidi"/>
          <w:sz w:val="24"/>
          <w:szCs w:val="24"/>
        </w:rPr>
        <w:t xml:space="preserve"> TVET,</w:t>
      </w:r>
      <w:r w:rsidR="00A01C6C" w:rsidRPr="00C07A16">
        <w:rPr>
          <w:rFonts w:asciiTheme="minorBidi" w:hAnsiTheme="minorBidi"/>
          <w:sz w:val="24"/>
          <w:szCs w:val="24"/>
        </w:rPr>
        <w:t xml:space="preserve"> TVSDC</w:t>
      </w:r>
      <w:r w:rsidR="00AA1934" w:rsidRPr="00C07A16">
        <w:rPr>
          <w:rFonts w:asciiTheme="minorBidi" w:hAnsiTheme="minorBidi"/>
          <w:sz w:val="24"/>
          <w:szCs w:val="24"/>
        </w:rPr>
        <w:t xml:space="preserve"> may develop, in coordination with AQACHEI</w:t>
      </w:r>
      <w:r w:rsidR="00332677" w:rsidRPr="00C07A16">
        <w:rPr>
          <w:rFonts w:asciiTheme="minorBidi" w:hAnsiTheme="minorBidi"/>
          <w:sz w:val="24"/>
          <w:szCs w:val="24"/>
        </w:rPr>
        <w:t>/NQF board</w:t>
      </w:r>
      <w:r w:rsidR="00AA1934" w:rsidRPr="00C07A16">
        <w:rPr>
          <w:rFonts w:asciiTheme="minorBidi" w:hAnsiTheme="minorBidi"/>
          <w:sz w:val="24"/>
          <w:szCs w:val="24"/>
        </w:rPr>
        <w:t>, and implement, register the qualifications on TVQF sub framework (if approved by NQF board/council). This may solve some of the</w:t>
      </w:r>
      <w:r w:rsidR="00332677" w:rsidRPr="00C07A16">
        <w:rPr>
          <w:rFonts w:asciiTheme="minorBidi" w:hAnsiTheme="minorBidi"/>
          <w:sz w:val="24"/>
          <w:szCs w:val="24"/>
        </w:rPr>
        <w:t xml:space="preserve"> existing conflicts in the 2 by laws. General policies by NQF and specific policies/standards for TVET by TVSDC. NQF influence is limited to qualifications and learning outcomes/QA standards/accreditation/certification and registration of qualifications.</w:t>
      </w:r>
    </w:p>
    <w:p w14:paraId="598E35B4" w14:textId="0BEB8ADA" w:rsidR="00EA6F1A" w:rsidRPr="00C07A16" w:rsidRDefault="00332677" w:rsidP="00332677">
      <w:pPr>
        <w:rPr>
          <w:rFonts w:asciiTheme="minorBidi" w:hAnsiTheme="minorBidi"/>
          <w:sz w:val="24"/>
          <w:szCs w:val="24"/>
        </w:rPr>
      </w:pPr>
      <w:r w:rsidRPr="00C07A16">
        <w:rPr>
          <w:rFonts w:asciiTheme="minorBidi" w:hAnsiTheme="minorBidi"/>
          <w:sz w:val="24"/>
          <w:szCs w:val="24"/>
        </w:rPr>
        <w:t xml:space="preserve">However, NQF has no oversight nor guidance on the running of TVSDC nor its funding mechanism. </w:t>
      </w:r>
      <w:r w:rsidR="00AA1934" w:rsidRPr="00C07A16">
        <w:rPr>
          <w:rFonts w:asciiTheme="minorBidi" w:hAnsiTheme="minorBidi"/>
          <w:sz w:val="24"/>
          <w:szCs w:val="24"/>
        </w:rPr>
        <w:t xml:space="preserve"> </w:t>
      </w:r>
    </w:p>
    <w:p w14:paraId="3FAF1581" w14:textId="38EBFEAA" w:rsidR="00106619" w:rsidRPr="00C07A16" w:rsidRDefault="00E6256B">
      <w:pPr>
        <w:rPr>
          <w:rFonts w:asciiTheme="minorBidi" w:hAnsiTheme="minorBidi"/>
          <w:b/>
          <w:bCs/>
          <w:sz w:val="24"/>
          <w:szCs w:val="24"/>
        </w:rPr>
      </w:pPr>
      <w:r w:rsidRPr="00C07A16">
        <w:rPr>
          <w:rFonts w:asciiTheme="minorBidi" w:hAnsiTheme="minorBidi"/>
          <w:b/>
          <w:bCs/>
          <w:sz w:val="24"/>
          <w:szCs w:val="24"/>
        </w:rPr>
        <w:t xml:space="preserve">4. </w:t>
      </w:r>
      <w:r w:rsidR="00795C6A" w:rsidRPr="00C07A16">
        <w:rPr>
          <w:rFonts w:asciiTheme="minorBidi" w:hAnsiTheme="minorBidi"/>
          <w:b/>
          <w:bCs/>
          <w:sz w:val="24"/>
          <w:szCs w:val="24"/>
        </w:rPr>
        <w:t>One System- 3 sub frameworks</w:t>
      </w:r>
    </w:p>
    <w:p w14:paraId="217C7A31" w14:textId="466CBDC6" w:rsidR="00673CB7" w:rsidRPr="00C07A16" w:rsidRDefault="00795C6A" w:rsidP="00673CB7">
      <w:pPr>
        <w:rPr>
          <w:rFonts w:asciiTheme="minorBidi" w:hAnsiTheme="minorBidi"/>
          <w:sz w:val="24"/>
          <w:szCs w:val="24"/>
        </w:rPr>
      </w:pPr>
      <w:r w:rsidRPr="00C07A16">
        <w:rPr>
          <w:rFonts w:asciiTheme="minorBidi" w:hAnsiTheme="minorBidi"/>
          <w:sz w:val="24"/>
          <w:szCs w:val="24"/>
        </w:rPr>
        <w:t xml:space="preserve">NQF can be organized as one NQF system for all Jordan, yet with 3 sub frameworks for HE, GE and TVET as each sub sector is unique. General policies can be the same (such as agreement on the </w:t>
      </w:r>
      <w:r w:rsidR="00673CB7" w:rsidRPr="00C07A16">
        <w:rPr>
          <w:rFonts w:asciiTheme="minorBidi" w:hAnsiTheme="minorBidi"/>
          <w:sz w:val="24"/>
          <w:szCs w:val="24"/>
        </w:rPr>
        <w:t>learning outcomes and learning hours (Credits) and credit framework/transfer; Level descriptors; equivalency etc) while specific methodologies (CBT/SSCs for example) is very unique to TVET and vocational or professional subjects.</w:t>
      </w:r>
    </w:p>
    <w:p w14:paraId="19A91029" w14:textId="666F7E36" w:rsidR="00673CB7" w:rsidRPr="00C07A16" w:rsidRDefault="00673CB7" w:rsidP="00673CB7">
      <w:pPr>
        <w:rPr>
          <w:rFonts w:asciiTheme="minorBidi" w:hAnsiTheme="minorBidi"/>
          <w:sz w:val="24"/>
          <w:szCs w:val="24"/>
        </w:rPr>
      </w:pPr>
      <w:r w:rsidRPr="00C07A16">
        <w:rPr>
          <w:rFonts w:asciiTheme="minorBidi" w:hAnsiTheme="minorBidi"/>
          <w:sz w:val="24"/>
          <w:szCs w:val="24"/>
          <w:highlight w:val="green"/>
        </w:rPr>
        <w:t>Recommendation</w:t>
      </w:r>
      <w:r w:rsidRPr="00C07A16">
        <w:rPr>
          <w:rFonts w:asciiTheme="minorBidi" w:hAnsiTheme="minorBidi"/>
          <w:sz w:val="24"/>
          <w:szCs w:val="24"/>
        </w:rPr>
        <w:t>: TVSDC should demand such a flexible NQF implementation modality and its well documented in both the laws.</w:t>
      </w:r>
    </w:p>
    <w:p w14:paraId="29CAF07D" w14:textId="182F8869" w:rsidR="00673CB7" w:rsidRPr="00C07A16" w:rsidRDefault="00E6256B" w:rsidP="00673CB7">
      <w:pPr>
        <w:rPr>
          <w:rFonts w:asciiTheme="minorBidi" w:hAnsiTheme="minorBidi"/>
          <w:b/>
          <w:bCs/>
          <w:sz w:val="24"/>
          <w:szCs w:val="24"/>
        </w:rPr>
      </w:pPr>
      <w:r w:rsidRPr="00C07A16">
        <w:rPr>
          <w:rFonts w:asciiTheme="minorBidi" w:hAnsiTheme="minorBidi"/>
          <w:b/>
          <w:bCs/>
          <w:sz w:val="24"/>
          <w:szCs w:val="24"/>
        </w:rPr>
        <w:t xml:space="preserve">5. </w:t>
      </w:r>
      <w:r w:rsidR="00673CB7" w:rsidRPr="00C07A16">
        <w:rPr>
          <w:rFonts w:asciiTheme="minorBidi" w:hAnsiTheme="minorBidi"/>
          <w:b/>
          <w:bCs/>
          <w:sz w:val="24"/>
          <w:szCs w:val="24"/>
        </w:rPr>
        <w:t>General comments on TVSDC law</w:t>
      </w:r>
    </w:p>
    <w:p w14:paraId="7C592368" w14:textId="097BCBC0" w:rsidR="00673CB7" w:rsidRPr="00C07A16" w:rsidRDefault="00673CB7" w:rsidP="00673CB7">
      <w:pPr>
        <w:rPr>
          <w:rFonts w:asciiTheme="minorBidi" w:hAnsiTheme="minorBidi"/>
          <w:sz w:val="24"/>
          <w:szCs w:val="24"/>
        </w:rPr>
      </w:pPr>
      <w:r w:rsidRPr="00C07A16">
        <w:rPr>
          <w:rFonts w:asciiTheme="minorBidi" w:hAnsiTheme="minorBidi"/>
          <w:sz w:val="24"/>
          <w:szCs w:val="24"/>
        </w:rPr>
        <w:t xml:space="preserve">This bylaw, to any third party, is very </w:t>
      </w:r>
      <w:r w:rsidRPr="00C07A16">
        <w:rPr>
          <w:rFonts w:asciiTheme="minorBidi" w:hAnsiTheme="minorBidi"/>
          <w:b/>
          <w:bCs/>
          <w:i/>
          <w:iCs/>
          <w:sz w:val="24"/>
          <w:szCs w:val="24"/>
        </w:rPr>
        <w:t>repetitive and not specific nor clear</w:t>
      </w:r>
      <w:r w:rsidRPr="00C07A16">
        <w:rPr>
          <w:rFonts w:asciiTheme="minorBidi" w:hAnsiTheme="minorBidi"/>
          <w:sz w:val="24"/>
          <w:szCs w:val="24"/>
        </w:rPr>
        <w:t xml:space="preserve"> enough to be interpreted.</w:t>
      </w:r>
    </w:p>
    <w:p w14:paraId="5420F672" w14:textId="56DE0500" w:rsidR="00673CB7" w:rsidRPr="00C07A16" w:rsidRDefault="00673CB7" w:rsidP="001F495D">
      <w:pPr>
        <w:rPr>
          <w:rFonts w:asciiTheme="minorBidi" w:hAnsiTheme="minorBidi"/>
          <w:sz w:val="24"/>
          <w:szCs w:val="24"/>
        </w:rPr>
      </w:pPr>
      <w:r w:rsidRPr="00C07A16">
        <w:rPr>
          <w:rFonts w:asciiTheme="minorBidi" w:hAnsiTheme="minorBidi"/>
          <w:sz w:val="24"/>
          <w:szCs w:val="24"/>
        </w:rPr>
        <w:t xml:space="preserve">Secondly, for </w:t>
      </w:r>
      <w:r w:rsidRPr="00C07A16">
        <w:rPr>
          <w:rFonts w:asciiTheme="minorBidi" w:hAnsiTheme="minorBidi"/>
          <w:b/>
          <w:bCs/>
          <w:i/>
          <w:iCs/>
          <w:sz w:val="24"/>
          <w:szCs w:val="24"/>
        </w:rPr>
        <w:t>independ</w:t>
      </w:r>
      <w:r w:rsidR="0084334D" w:rsidRPr="00C07A16">
        <w:rPr>
          <w:rFonts w:asciiTheme="minorBidi" w:hAnsiTheme="minorBidi"/>
          <w:b/>
          <w:bCs/>
          <w:i/>
          <w:iCs/>
          <w:sz w:val="24"/>
          <w:szCs w:val="24"/>
        </w:rPr>
        <w:t>ence of TVSDC</w:t>
      </w:r>
      <w:r w:rsidR="0084334D" w:rsidRPr="00C07A16">
        <w:rPr>
          <w:rFonts w:asciiTheme="minorBidi" w:hAnsiTheme="minorBidi"/>
          <w:sz w:val="24"/>
          <w:szCs w:val="24"/>
        </w:rPr>
        <w:t xml:space="preserve"> is not ensured if the policies are </w:t>
      </w:r>
      <w:r w:rsidR="001F495D" w:rsidRPr="00C07A16">
        <w:rPr>
          <w:rFonts w:asciiTheme="minorBidi" w:hAnsiTheme="minorBidi"/>
          <w:sz w:val="24"/>
          <w:szCs w:val="24"/>
        </w:rPr>
        <w:t>“prepared</w:t>
      </w:r>
      <w:r w:rsidR="0084334D" w:rsidRPr="00C07A16">
        <w:rPr>
          <w:rFonts w:asciiTheme="minorBidi" w:hAnsiTheme="minorBidi"/>
          <w:sz w:val="24"/>
          <w:szCs w:val="24"/>
        </w:rPr>
        <w:t xml:space="preserve"> by MoL</w:t>
      </w:r>
      <w:r w:rsidR="001F495D" w:rsidRPr="00C07A16">
        <w:rPr>
          <w:rFonts w:asciiTheme="minorBidi" w:hAnsiTheme="minorBidi"/>
          <w:sz w:val="24"/>
          <w:szCs w:val="24"/>
        </w:rPr>
        <w:t>”. TVSDC should serve the interests of all ETVET sector and the policies should be set by the independent board itself</w:t>
      </w:r>
      <w:r w:rsidR="0084334D" w:rsidRPr="00C07A16">
        <w:rPr>
          <w:rFonts w:asciiTheme="minorBidi" w:hAnsiTheme="minorBidi"/>
          <w:sz w:val="24"/>
          <w:szCs w:val="24"/>
        </w:rPr>
        <w:t>!</w:t>
      </w:r>
      <w:r w:rsidR="001F495D" w:rsidRPr="00C07A16">
        <w:rPr>
          <w:rFonts w:asciiTheme="minorBidi" w:hAnsiTheme="minorBidi"/>
          <w:sz w:val="24"/>
          <w:szCs w:val="24"/>
        </w:rPr>
        <w:t xml:space="preserve"> </w:t>
      </w:r>
    </w:p>
    <w:p w14:paraId="1E72B4B2" w14:textId="7B09CBD9" w:rsidR="001F495D" w:rsidRPr="00C07A16" w:rsidRDefault="001F495D" w:rsidP="001F495D">
      <w:pPr>
        <w:rPr>
          <w:rFonts w:asciiTheme="minorBidi" w:hAnsiTheme="minorBidi"/>
          <w:sz w:val="24"/>
          <w:szCs w:val="24"/>
        </w:rPr>
      </w:pPr>
      <w:r w:rsidRPr="00C07A16">
        <w:rPr>
          <w:rFonts w:asciiTheme="minorBidi" w:hAnsiTheme="minorBidi"/>
          <w:sz w:val="24"/>
          <w:szCs w:val="24"/>
        </w:rPr>
        <w:lastRenderedPageBreak/>
        <w:t xml:space="preserve">Also, </w:t>
      </w:r>
      <w:r w:rsidRPr="00C07A16">
        <w:rPr>
          <w:rFonts w:asciiTheme="minorBidi" w:hAnsiTheme="minorBidi"/>
          <w:b/>
          <w:bCs/>
          <w:i/>
          <w:iCs/>
          <w:sz w:val="24"/>
          <w:szCs w:val="24"/>
        </w:rPr>
        <w:t>staffing from various sectors/line ministries and independent experts</w:t>
      </w:r>
      <w:r w:rsidRPr="00C07A16">
        <w:rPr>
          <w:rFonts w:asciiTheme="minorBidi" w:hAnsiTheme="minorBidi"/>
          <w:sz w:val="24"/>
          <w:szCs w:val="24"/>
        </w:rPr>
        <w:t xml:space="preserve"> from private sector/industry. This is critical for comparative advantage with current commissions and to ensure that business is not government style operations!</w:t>
      </w:r>
    </w:p>
    <w:p w14:paraId="7E21A3FE" w14:textId="01342046" w:rsidR="001B7EBB" w:rsidRPr="00C07A16" w:rsidRDefault="001B7EBB" w:rsidP="001B7EBB">
      <w:pPr>
        <w:rPr>
          <w:rFonts w:asciiTheme="minorBidi" w:hAnsiTheme="minorBidi"/>
          <w:sz w:val="24"/>
          <w:szCs w:val="24"/>
        </w:rPr>
      </w:pPr>
      <w:r w:rsidRPr="00C07A16">
        <w:rPr>
          <w:rFonts w:asciiTheme="minorBidi" w:hAnsiTheme="minorBidi"/>
          <w:b/>
          <w:bCs/>
          <w:i/>
          <w:iCs/>
          <w:sz w:val="24"/>
          <w:szCs w:val="24"/>
        </w:rPr>
        <w:t>The urgency to speed up NQF discussions</w:t>
      </w:r>
      <w:r w:rsidRPr="00C07A16">
        <w:rPr>
          <w:rFonts w:asciiTheme="minorBidi" w:hAnsiTheme="minorBidi"/>
          <w:sz w:val="24"/>
          <w:szCs w:val="24"/>
        </w:rPr>
        <w:t>: It is very critical that formal discussions are initiated with NQF board/AQACHEI on overall policies and NQF implementation plan. Both parties should discus and agree on the division of labour and how to implement their respective laws. Also, such a discussion can iron out differences on the ‘conflicting or competing provisions in both the laws’.</w:t>
      </w:r>
    </w:p>
    <w:p w14:paraId="5E366687" w14:textId="49286853" w:rsidR="001B7EBB" w:rsidRPr="00C07A16" w:rsidRDefault="001B7EBB" w:rsidP="001F495D">
      <w:pPr>
        <w:rPr>
          <w:rFonts w:asciiTheme="minorBidi" w:hAnsiTheme="minorBidi"/>
          <w:sz w:val="24"/>
          <w:szCs w:val="24"/>
        </w:rPr>
      </w:pPr>
      <w:r w:rsidRPr="00C07A16">
        <w:rPr>
          <w:rFonts w:asciiTheme="minorBidi" w:hAnsiTheme="minorBidi"/>
          <w:sz w:val="24"/>
          <w:szCs w:val="24"/>
        </w:rPr>
        <w:t xml:space="preserve">TVSDC may share its experiences with AQACHEI on </w:t>
      </w:r>
      <w:r w:rsidRPr="00C07A16">
        <w:rPr>
          <w:rFonts w:asciiTheme="minorBidi" w:hAnsiTheme="minorBidi"/>
          <w:b/>
          <w:bCs/>
          <w:sz w:val="24"/>
          <w:szCs w:val="24"/>
        </w:rPr>
        <w:t>SSCs</w:t>
      </w:r>
      <w:r w:rsidRPr="00C07A16">
        <w:rPr>
          <w:rFonts w:asciiTheme="minorBidi" w:hAnsiTheme="minorBidi"/>
          <w:sz w:val="24"/>
          <w:szCs w:val="24"/>
        </w:rPr>
        <w:t xml:space="preserve"> and how to enlarge SSC role to support NQF implementation beyond TVET sub sector.</w:t>
      </w:r>
    </w:p>
    <w:p w14:paraId="2C3A389F" w14:textId="509AFF28" w:rsidR="001B7EBB" w:rsidRPr="00C07A16" w:rsidRDefault="001B7EBB" w:rsidP="001F495D">
      <w:pPr>
        <w:rPr>
          <w:rFonts w:asciiTheme="minorBidi" w:hAnsiTheme="minorBidi"/>
          <w:sz w:val="24"/>
          <w:szCs w:val="24"/>
        </w:rPr>
      </w:pPr>
    </w:p>
    <w:p w14:paraId="38DAE9E0" w14:textId="77777777" w:rsidR="00E6256B" w:rsidRPr="00C07A16" w:rsidRDefault="00E6256B">
      <w:pPr>
        <w:rPr>
          <w:rFonts w:asciiTheme="minorBidi" w:hAnsiTheme="minorBidi"/>
          <w:b/>
          <w:bCs/>
          <w:sz w:val="24"/>
          <w:szCs w:val="24"/>
        </w:rPr>
      </w:pPr>
      <w:r w:rsidRPr="00C07A16">
        <w:rPr>
          <w:rFonts w:asciiTheme="minorBidi" w:hAnsiTheme="minorBidi"/>
          <w:b/>
          <w:bCs/>
          <w:sz w:val="24"/>
          <w:szCs w:val="24"/>
        </w:rPr>
        <w:br w:type="page"/>
      </w:r>
    </w:p>
    <w:p w14:paraId="04B0B5A1" w14:textId="7290D226" w:rsidR="001B7EBB" w:rsidRPr="00C07A16" w:rsidRDefault="001B7EBB" w:rsidP="001B7EBB">
      <w:pPr>
        <w:shd w:val="clear" w:color="auto" w:fill="FFF2CC" w:themeFill="accent4" w:themeFillTint="33"/>
        <w:ind w:left="-450" w:right="-720"/>
        <w:rPr>
          <w:rFonts w:asciiTheme="minorBidi" w:hAnsiTheme="minorBidi"/>
          <w:b/>
          <w:bCs/>
          <w:sz w:val="24"/>
          <w:szCs w:val="24"/>
        </w:rPr>
      </w:pPr>
      <w:r w:rsidRPr="00C07A16">
        <w:rPr>
          <w:rFonts w:asciiTheme="minorBidi" w:hAnsiTheme="minorBidi"/>
          <w:b/>
          <w:bCs/>
          <w:sz w:val="24"/>
          <w:szCs w:val="24"/>
        </w:rPr>
        <w:lastRenderedPageBreak/>
        <w:t>The two by laws (TVSDC and NQF/AQACHEI)</w:t>
      </w:r>
    </w:p>
    <w:tbl>
      <w:tblPr>
        <w:tblStyle w:val="TableGrid"/>
        <w:tblW w:w="10620" w:type="dxa"/>
        <w:tblInd w:w="-455" w:type="dxa"/>
        <w:tblLook w:val="04A0" w:firstRow="1" w:lastRow="0" w:firstColumn="1" w:lastColumn="0" w:noHBand="0" w:noVBand="1"/>
      </w:tblPr>
      <w:tblGrid>
        <w:gridCol w:w="3828"/>
        <w:gridCol w:w="3735"/>
        <w:gridCol w:w="3057"/>
      </w:tblGrid>
      <w:tr w:rsidR="001B7EBB" w:rsidRPr="00C07A16" w14:paraId="079BCD0E" w14:textId="77777777" w:rsidTr="00F01E58">
        <w:tc>
          <w:tcPr>
            <w:tcW w:w="3870" w:type="dxa"/>
            <w:shd w:val="clear" w:color="auto" w:fill="A8D08D" w:themeFill="accent6" w:themeFillTint="99"/>
          </w:tcPr>
          <w:p w14:paraId="0A349B1D" w14:textId="77777777" w:rsidR="001B7EBB" w:rsidRPr="00C07A16" w:rsidRDefault="001B7EBB" w:rsidP="009A32B0">
            <w:pPr>
              <w:rPr>
                <w:rFonts w:asciiTheme="minorBidi" w:hAnsiTheme="minorBidi"/>
                <w:b/>
                <w:bCs/>
                <w:sz w:val="24"/>
                <w:szCs w:val="24"/>
              </w:rPr>
            </w:pPr>
            <w:r w:rsidRPr="00C07A16">
              <w:rPr>
                <w:rFonts w:asciiTheme="minorBidi" w:hAnsiTheme="minorBidi"/>
                <w:b/>
                <w:bCs/>
                <w:sz w:val="24"/>
                <w:szCs w:val="24"/>
              </w:rPr>
              <w:t>TVSDC</w:t>
            </w:r>
            <w:r w:rsidRPr="00C07A16">
              <w:rPr>
                <w:rFonts w:asciiTheme="minorBidi" w:hAnsiTheme="minorBidi"/>
                <w:b/>
                <w:bCs/>
                <w:sz w:val="24"/>
                <w:szCs w:val="24"/>
              </w:rPr>
              <w:tab/>
            </w:r>
          </w:p>
        </w:tc>
        <w:tc>
          <w:tcPr>
            <w:tcW w:w="3780" w:type="dxa"/>
            <w:shd w:val="clear" w:color="auto" w:fill="A8D08D" w:themeFill="accent6" w:themeFillTint="99"/>
          </w:tcPr>
          <w:p w14:paraId="1F2F4ECD" w14:textId="77777777" w:rsidR="001B7EBB" w:rsidRPr="00C07A16" w:rsidRDefault="001B7EBB" w:rsidP="009A32B0">
            <w:pPr>
              <w:rPr>
                <w:rFonts w:asciiTheme="minorBidi" w:hAnsiTheme="minorBidi"/>
                <w:b/>
                <w:bCs/>
                <w:sz w:val="24"/>
                <w:szCs w:val="24"/>
              </w:rPr>
            </w:pPr>
            <w:r w:rsidRPr="00C07A16">
              <w:rPr>
                <w:rFonts w:asciiTheme="minorBidi" w:hAnsiTheme="minorBidi"/>
                <w:b/>
                <w:bCs/>
                <w:sz w:val="24"/>
                <w:szCs w:val="24"/>
              </w:rPr>
              <w:t>NQF by law</w:t>
            </w:r>
          </w:p>
        </w:tc>
        <w:tc>
          <w:tcPr>
            <w:tcW w:w="2970" w:type="dxa"/>
            <w:shd w:val="clear" w:color="auto" w:fill="A8D08D" w:themeFill="accent6" w:themeFillTint="99"/>
          </w:tcPr>
          <w:p w14:paraId="74EEC8D7" w14:textId="77777777" w:rsidR="001B7EBB" w:rsidRPr="00C07A16" w:rsidRDefault="001B7EBB" w:rsidP="009A32B0">
            <w:pPr>
              <w:rPr>
                <w:rFonts w:asciiTheme="minorBidi" w:hAnsiTheme="minorBidi"/>
                <w:b/>
                <w:bCs/>
                <w:sz w:val="24"/>
                <w:szCs w:val="24"/>
              </w:rPr>
            </w:pPr>
            <w:r w:rsidRPr="00C07A16">
              <w:rPr>
                <w:rFonts w:asciiTheme="minorBidi" w:hAnsiTheme="minorBidi"/>
                <w:b/>
                <w:bCs/>
                <w:sz w:val="24"/>
                <w:szCs w:val="24"/>
              </w:rPr>
              <w:t>Comments/Observations</w:t>
            </w:r>
          </w:p>
        </w:tc>
      </w:tr>
      <w:tr w:rsidR="001B7EBB" w:rsidRPr="00C07A16" w14:paraId="213BF9B5" w14:textId="77777777" w:rsidTr="00F01E58">
        <w:tc>
          <w:tcPr>
            <w:tcW w:w="3870" w:type="dxa"/>
          </w:tcPr>
          <w:p w14:paraId="7F1649C1"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lang w:bidi="ar-JO"/>
              </w:rPr>
              <w:t>(Article 3/B:1) accreditation and supervision of TVET providers, organizing their work, evaluate, control their performance,</w:t>
            </w:r>
            <w:r w:rsidRPr="00C07A16">
              <w:rPr>
                <w:rFonts w:asciiTheme="minorBidi" w:hAnsiTheme="minorBidi"/>
                <w:sz w:val="24"/>
                <w:szCs w:val="24"/>
              </w:rPr>
              <w:t xml:space="preserve"> </w:t>
            </w:r>
            <w:r w:rsidRPr="00C07A16">
              <w:rPr>
                <w:rFonts w:asciiTheme="minorBidi" w:hAnsiTheme="minorBidi"/>
                <w:sz w:val="24"/>
                <w:szCs w:val="24"/>
                <w:lang w:bidi="ar-JO"/>
              </w:rPr>
              <w:t>supervising the implementation of TVET programs that do not provide a scientific degree in order to meet the needs of the labour market</w:t>
            </w:r>
          </w:p>
        </w:tc>
        <w:tc>
          <w:tcPr>
            <w:tcW w:w="3780" w:type="dxa"/>
          </w:tcPr>
          <w:p w14:paraId="6583A4F6" w14:textId="7335D9DE" w:rsidR="001B7EBB" w:rsidRPr="00C07A16" w:rsidRDefault="001B7EBB" w:rsidP="00F01E58">
            <w:pPr>
              <w:rPr>
                <w:rFonts w:asciiTheme="minorBidi" w:hAnsiTheme="minorBidi"/>
                <w:sz w:val="24"/>
                <w:szCs w:val="24"/>
              </w:rPr>
            </w:pPr>
            <w:r w:rsidRPr="00C07A16">
              <w:rPr>
                <w:rFonts w:asciiTheme="minorBidi" w:hAnsiTheme="minorBidi"/>
                <w:sz w:val="24"/>
                <w:szCs w:val="24"/>
              </w:rPr>
              <w:t xml:space="preserve">(q) Prepare the </w:t>
            </w:r>
            <w:r w:rsidRPr="00C07A16">
              <w:rPr>
                <w:rFonts w:asciiTheme="minorBidi" w:hAnsiTheme="minorBidi"/>
                <w:sz w:val="24"/>
                <w:szCs w:val="24"/>
                <w:lang w:bidi="ar-JO"/>
              </w:rPr>
              <w:t xml:space="preserve">guidelines for qualifications’ quality assurance to be followed by the institutions responsible for quality assurance and provider institutions in the Kingdom to develop and implement their procedures in order to accredit and assure the qualifications’ quality  </w:t>
            </w:r>
          </w:p>
        </w:tc>
        <w:tc>
          <w:tcPr>
            <w:tcW w:w="2970" w:type="dxa"/>
          </w:tcPr>
          <w:p w14:paraId="065C6283"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TVSDC and NQF board should reach an agreement to what level of TVET streams, TVSDC will be responsible for all matters related to NQF (implementation)</w:t>
            </w:r>
          </w:p>
        </w:tc>
      </w:tr>
      <w:tr w:rsidR="001B7EBB" w:rsidRPr="00C07A16" w14:paraId="021F1D98" w14:textId="77777777" w:rsidTr="00F01E58">
        <w:tc>
          <w:tcPr>
            <w:tcW w:w="3870" w:type="dxa"/>
          </w:tcPr>
          <w:p w14:paraId="14E75E7C" w14:textId="77777777" w:rsidR="001B7EBB" w:rsidRPr="00C07A16" w:rsidRDefault="001B7EBB" w:rsidP="009A32B0">
            <w:pPr>
              <w:rPr>
                <w:rFonts w:asciiTheme="minorBidi" w:hAnsiTheme="minorBidi"/>
                <w:sz w:val="24"/>
                <w:szCs w:val="24"/>
                <w:lang w:bidi="ar-JO"/>
              </w:rPr>
            </w:pPr>
            <w:r w:rsidRPr="00C07A16">
              <w:rPr>
                <w:rFonts w:asciiTheme="minorBidi" w:hAnsiTheme="minorBidi"/>
                <w:sz w:val="24"/>
                <w:szCs w:val="24"/>
              </w:rPr>
              <w:t>A3/B:6)</w:t>
            </w:r>
            <w:r w:rsidRPr="00C07A16">
              <w:rPr>
                <w:rFonts w:asciiTheme="minorBidi" w:hAnsiTheme="minorBidi"/>
                <w:b/>
                <w:bCs/>
                <w:sz w:val="24"/>
                <w:szCs w:val="24"/>
                <w:lang w:bidi="ar-JO"/>
              </w:rPr>
              <w:t xml:space="preserve"> 6</w:t>
            </w:r>
            <w:r w:rsidRPr="00C07A16">
              <w:rPr>
                <w:rFonts w:asciiTheme="minorBidi" w:hAnsiTheme="minorBidi"/>
                <w:sz w:val="24"/>
                <w:szCs w:val="24"/>
                <w:lang w:bidi="ar-JO"/>
              </w:rPr>
              <w:t>- Registration of qualifications in the national qualifications framework</w:t>
            </w:r>
          </w:p>
          <w:p w14:paraId="0B208AB3" w14:textId="77777777" w:rsidR="001B7EBB" w:rsidRPr="00C07A16" w:rsidRDefault="001B7EBB" w:rsidP="009A32B0">
            <w:pPr>
              <w:rPr>
                <w:rFonts w:asciiTheme="minorBidi" w:hAnsiTheme="minorBidi"/>
                <w:sz w:val="24"/>
                <w:szCs w:val="24"/>
              </w:rPr>
            </w:pPr>
          </w:p>
        </w:tc>
        <w:tc>
          <w:tcPr>
            <w:tcW w:w="3780" w:type="dxa"/>
          </w:tcPr>
          <w:p w14:paraId="7A75ABB9"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 xml:space="preserve">(A4/H) </w:t>
            </w:r>
            <w:r w:rsidRPr="00C07A16">
              <w:rPr>
                <w:rFonts w:asciiTheme="minorBidi" w:hAnsiTheme="minorBidi"/>
                <w:i/>
                <w:iCs/>
                <w:sz w:val="24"/>
                <w:szCs w:val="24"/>
                <w:highlight w:val="yellow"/>
              </w:rPr>
              <w:t>Coordinate with the institutions responsible for quality assurance</w:t>
            </w:r>
            <w:r w:rsidRPr="00C07A16">
              <w:rPr>
                <w:rFonts w:asciiTheme="minorBidi" w:hAnsiTheme="minorBidi"/>
                <w:i/>
                <w:iCs/>
                <w:sz w:val="24"/>
                <w:szCs w:val="24"/>
              </w:rPr>
              <w:t xml:space="preserve"> </w:t>
            </w:r>
            <w:r w:rsidRPr="00C07A16">
              <w:rPr>
                <w:rFonts w:asciiTheme="minorBidi" w:hAnsiTheme="minorBidi"/>
                <w:sz w:val="24"/>
                <w:szCs w:val="24"/>
              </w:rPr>
              <w:t>for reviewing applications of institutional listing</w:t>
            </w:r>
          </w:p>
          <w:p w14:paraId="0F49C8FA" w14:textId="77777777" w:rsidR="001B7EBB" w:rsidRPr="00C07A16" w:rsidRDefault="001B7EBB" w:rsidP="009A32B0">
            <w:pPr>
              <w:pStyle w:val="ListParagraph"/>
              <w:rPr>
                <w:rFonts w:asciiTheme="minorBidi" w:hAnsiTheme="minorBidi"/>
                <w:sz w:val="24"/>
                <w:szCs w:val="24"/>
                <w:lang w:val="en-GB"/>
              </w:rPr>
            </w:pPr>
          </w:p>
          <w:p w14:paraId="1CAFE089" w14:textId="77777777" w:rsidR="001B7EBB" w:rsidRPr="00C07A16" w:rsidRDefault="001B7EBB" w:rsidP="009A32B0">
            <w:pPr>
              <w:rPr>
                <w:rFonts w:asciiTheme="minorBidi" w:hAnsiTheme="minorBidi"/>
                <w:i/>
                <w:iCs/>
                <w:sz w:val="24"/>
                <w:szCs w:val="24"/>
              </w:rPr>
            </w:pPr>
            <w:r w:rsidRPr="00C07A16">
              <w:rPr>
                <w:rFonts w:asciiTheme="minorBidi" w:hAnsiTheme="minorBidi"/>
                <w:sz w:val="24"/>
                <w:szCs w:val="24"/>
              </w:rPr>
              <w:t xml:space="preserve">(A4/I) </w:t>
            </w:r>
            <w:r w:rsidRPr="00C07A16">
              <w:rPr>
                <w:rFonts w:asciiTheme="minorBidi" w:hAnsiTheme="minorBidi"/>
                <w:i/>
                <w:iCs/>
                <w:sz w:val="24"/>
                <w:szCs w:val="24"/>
                <w:highlight w:val="yellow"/>
              </w:rPr>
              <w:t>Review applications of national qualifications to be placed in the Framework</w:t>
            </w:r>
          </w:p>
          <w:p w14:paraId="2245A6B6" w14:textId="77777777" w:rsidR="001B7EBB" w:rsidRPr="00C07A16" w:rsidRDefault="001B7EBB" w:rsidP="009A32B0">
            <w:pPr>
              <w:rPr>
                <w:rFonts w:asciiTheme="minorBidi" w:hAnsiTheme="minorBidi"/>
                <w:sz w:val="24"/>
                <w:szCs w:val="24"/>
              </w:rPr>
            </w:pPr>
          </w:p>
        </w:tc>
        <w:tc>
          <w:tcPr>
            <w:tcW w:w="2970" w:type="dxa"/>
          </w:tcPr>
          <w:p w14:paraId="65195DC5"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 xml:space="preserve">Two </w:t>
            </w:r>
            <w:r w:rsidRPr="00C07A16">
              <w:rPr>
                <w:rFonts w:asciiTheme="minorBidi" w:hAnsiTheme="minorBidi"/>
                <w:i/>
                <w:iCs/>
                <w:sz w:val="24"/>
                <w:szCs w:val="24"/>
              </w:rPr>
              <w:t>registration</w:t>
            </w:r>
            <w:r w:rsidRPr="00C07A16">
              <w:rPr>
                <w:rFonts w:asciiTheme="minorBidi" w:hAnsiTheme="minorBidi"/>
                <w:sz w:val="24"/>
                <w:szCs w:val="24"/>
              </w:rPr>
              <w:t xml:space="preserve"> processes are not ideal and will lead to conflict. What if one approves and the other rejects?</w:t>
            </w:r>
          </w:p>
          <w:p w14:paraId="192F3D9D" w14:textId="77777777" w:rsidR="001B7EBB" w:rsidRPr="00C07A16" w:rsidRDefault="001B7EBB" w:rsidP="009A32B0">
            <w:pPr>
              <w:rPr>
                <w:rFonts w:asciiTheme="minorBidi" w:hAnsiTheme="minorBidi"/>
                <w:sz w:val="24"/>
                <w:szCs w:val="24"/>
              </w:rPr>
            </w:pPr>
          </w:p>
          <w:p w14:paraId="445B6ADB"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This need to be clarified registration by who and listing on NQF by who?</w:t>
            </w:r>
          </w:p>
        </w:tc>
      </w:tr>
      <w:tr w:rsidR="001B7EBB" w:rsidRPr="00C07A16" w14:paraId="4D6547ED" w14:textId="77777777" w:rsidTr="00F01E58">
        <w:tc>
          <w:tcPr>
            <w:tcW w:w="3870" w:type="dxa"/>
          </w:tcPr>
          <w:p w14:paraId="7EBEEF03"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lang w:bidi="ar-JO"/>
              </w:rPr>
              <w:t>Supervising vocational tests and issuing certificates according to the criteria approved by the council for this purpose</w:t>
            </w:r>
          </w:p>
        </w:tc>
        <w:tc>
          <w:tcPr>
            <w:tcW w:w="3780" w:type="dxa"/>
          </w:tcPr>
          <w:p w14:paraId="7DE43907"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(A4/M) Issue certificates of qualifications listingalong with qualifications’ certificate resulting from prior learning under instructions issued for this purpose</w:t>
            </w:r>
          </w:p>
          <w:p w14:paraId="376CCAE3" w14:textId="77777777" w:rsidR="001B7EBB" w:rsidRPr="00C07A16" w:rsidRDefault="001B7EBB" w:rsidP="009A32B0">
            <w:pPr>
              <w:rPr>
                <w:rFonts w:asciiTheme="minorBidi" w:hAnsiTheme="minorBidi"/>
                <w:sz w:val="24"/>
                <w:szCs w:val="24"/>
              </w:rPr>
            </w:pPr>
          </w:p>
        </w:tc>
        <w:tc>
          <w:tcPr>
            <w:tcW w:w="2970" w:type="dxa"/>
          </w:tcPr>
          <w:p w14:paraId="63B03E5B"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Both laws state they issue certificates</w:t>
            </w:r>
          </w:p>
          <w:p w14:paraId="7B55055E" w14:textId="77777777" w:rsidR="001B7EBB" w:rsidRPr="00C07A16" w:rsidRDefault="001B7EBB" w:rsidP="009A32B0">
            <w:pPr>
              <w:rPr>
                <w:rFonts w:asciiTheme="minorBidi" w:hAnsiTheme="minorBidi"/>
                <w:sz w:val="24"/>
                <w:szCs w:val="24"/>
              </w:rPr>
            </w:pPr>
          </w:p>
          <w:p w14:paraId="07BBDEF6"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Need an understanding on this- TVSDC issues certificates for TVET upto Level 4 or 5 and that NQF and MoE issue GE Certificate to Level 4</w:t>
            </w:r>
          </w:p>
        </w:tc>
      </w:tr>
      <w:tr w:rsidR="001B7EBB" w:rsidRPr="00C07A16" w14:paraId="33F806B5" w14:textId="77777777" w:rsidTr="00F01E58">
        <w:tc>
          <w:tcPr>
            <w:tcW w:w="3870" w:type="dxa"/>
          </w:tcPr>
          <w:p w14:paraId="418530A8" w14:textId="77777777" w:rsidR="001B7EBB" w:rsidRPr="00C07A16" w:rsidRDefault="001B7EBB" w:rsidP="009A32B0">
            <w:pPr>
              <w:rPr>
                <w:rFonts w:asciiTheme="minorBidi" w:hAnsiTheme="minorBidi"/>
                <w:sz w:val="24"/>
                <w:szCs w:val="24"/>
                <w:lang w:bidi="ar-JO"/>
              </w:rPr>
            </w:pPr>
            <w:r w:rsidRPr="00C07A16">
              <w:rPr>
                <w:rFonts w:asciiTheme="minorBidi" w:hAnsiTheme="minorBidi"/>
                <w:sz w:val="24"/>
                <w:szCs w:val="24"/>
                <w:lang w:bidi="ar-JO"/>
              </w:rPr>
              <w:t>Organizing the vocational work and its level according to the national qualifications framework and practicing the occupation in coordination with the concerned authorities</w:t>
            </w:r>
            <w:r w:rsidRPr="00C07A16">
              <w:rPr>
                <w:rFonts w:asciiTheme="minorBidi" w:hAnsiTheme="minorBidi"/>
                <w:b/>
                <w:bCs/>
                <w:sz w:val="24"/>
                <w:szCs w:val="24"/>
                <w:lang w:bidi="ar-JO"/>
              </w:rPr>
              <w:t xml:space="preserve"> </w:t>
            </w:r>
            <w:r w:rsidRPr="00C07A16">
              <w:rPr>
                <w:rFonts w:asciiTheme="minorBidi" w:hAnsiTheme="minorBidi"/>
                <w:sz w:val="24"/>
                <w:szCs w:val="24"/>
                <w:lang w:bidi="ar-JO"/>
              </w:rPr>
              <w:t>according to the applicable legislations.</w:t>
            </w:r>
          </w:p>
          <w:p w14:paraId="2DA8638A" w14:textId="77777777" w:rsidR="001B7EBB" w:rsidRPr="00C07A16" w:rsidRDefault="001B7EBB" w:rsidP="009A32B0">
            <w:pPr>
              <w:rPr>
                <w:rFonts w:asciiTheme="minorBidi" w:hAnsiTheme="minorBidi"/>
                <w:sz w:val="24"/>
                <w:szCs w:val="24"/>
                <w:lang w:bidi="ar-JO"/>
              </w:rPr>
            </w:pPr>
          </w:p>
          <w:p w14:paraId="2FFF7C0D"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lang w:bidi="ar-JO"/>
              </w:rPr>
              <w:t xml:space="preserve">Preparing vocational standards, conditions of licensing and accreditation for technical and vocational training providers, registration of qualifications, examination bodies, classification </w:t>
            </w:r>
            <w:r w:rsidRPr="00C07A16">
              <w:rPr>
                <w:rFonts w:asciiTheme="minorBidi" w:hAnsiTheme="minorBidi"/>
                <w:sz w:val="24"/>
                <w:szCs w:val="24"/>
                <w:lang w:bidi="ar-JO"/>
              </w:rPr>
              <w:lastRenderedPageBreak/>
              <w:t>of vocational trainers, fees and wages for vocational tests and other issues related to the commission under a bylaw issued for this purpose.</w:t>
            </w:r>
          </w:p>
        </w:tc>
        <w:tc>
          <w:tcPr>
            <w:tcW w:w="3780" w:type="dxa"/>
          </w:tcPr>
          <w:p w14:paraId="7746CD2B"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lastRenderedPageBreak/>
              <w:t>The awarding bodies of vocational and technical training qualifications shall commit to submitting applications for qualifications listing  in the Framework to the Commission through the Center</w:t>
            </w:r>
          </w:p>
        </w:tc>
        <w:tc>
          <w:tcPr>
            <w:tcW w:w="2970" w:type="dxa"/>
          </w:tcPr>
          <w:p w14:paraId="7239F1A4"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No conflict as the two laws are clear that the general descriptors is the AQACEHI responsibility but specific level descriptors and Level placement is the responsibility of QA bodies</w:t>
            </w:r>
          </w:p>
        </w:tc>
      </w:tr>
      <w:tr w:rsidR="001B7EBB" w:rsidRPr="00C07A16" w14:paraId="39C9C8EF" w14:textId="77777777" w:rsidTr="00F01E58">
        <w:tc>
          <w:tcPr>
            <w:tcW w:w="3870" w:type="dxa"/>
          </w:tcPr>
          <w:p w14:paraId="4D261768" w14:textId="77777777" w:rsidR="001B7EBB" w:rsidRPr="00C07A16" w:rsidRDefault="001B7EBB" w:rsidP="009A32B0">
            <w:pPr>
              <w:rPr>
                <w:rFonts w:asciiTheme="minorBidi" w:hAnsiTheme="minorBidi"/>
                <w:sz w:val="24"/>
                <w:szCs w:val="24"/>
              </w:rPr>
            </w:pPr>
            <w:r w:rsidRPr="00C07A16">
              <w:rPr>
                <w:rFonts w:asciiTheme="minorBidi" w:hAnsiTheme="minorBidi"/>
                <w:b/>
                <w:bCs/>
                <w:sz w:val="24"/>
                <w:szCs w:val="24"/>
                <w:lang w:bidi="ar-JO"/>
              </w:rPr>
              <w:lastRenderedPageBreak/>
              <w:t xml:space="preserve">- </w:t>
            </w:r>
            <w:r w:rsidRPr="00C07A16">
              <w:rPr>
                <w:rFonts w:asciiTheme="minorBidi" w:hAnsiTheme="minorBidi"/>
                <w:b/>
                <w:bCs/>
                <w:sz w:val="24"/>
                <w:szCs w:val="24"/>
                <w:rtl/>
                <w:lang w:bidi="ar-JO"/>
              </w:rPr>
              <w:t xml:space="preserve"> </w:t>
            </w:r>
            <w:r w:rsidRPr="00C07A16">
              <w:rPr>
                <w:rFonts w:asciiTheme="minorBidi" w:hAnsiTheme="minorBidi"/>
                <w:sz w:val="24"/>
                <w:szCs w:val="24"/>
                <w:lang w:bidi="ar-JO"/>
              </w:rPr>
              <w:t>To prepare the bases and criteria for the equivalence and accreditation of vocational and technical qualifications, certificates and documents issued by international accreditation bodies according to a bylaw issued for this purpose</w:t>
            </w:r>
          </w:p>
        </w:tc>
        <w:tc>
          <w:tcPr>
            <w:tcW w:w="3780" w:type="dxa"/>
          </w:tcPr>
          <w:p w14:paraId="495CDFD3"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 xml:space="preserve">The fees of listing awarding bodies and provider institutions shall be determined in coordination with the Center regarding vocational and technical qualifications subject to instructions will issued for this purpose. The instructions shall determine the fees for awarding bodies and provider institutions, and the fees of </w:t>
            </w:r>
            <w:r w:rsidRPr="00C07A16">
              <w:rPr>
                <w:rFonts w:asciiTheme="minorBidi" w:hAnsiTheme="minorBidi"/>
                <w:sz w:val="24"/>
                <w:szCs w:val="24"/>
                <w:lang w:bidi="ar-JO"/>
              </w:rPr>
              <w:t>equivalency of foreign qualification in the framework</w:t>
            </w:r>
          </w:p>
        </w:tc>
        <w:tc>
          <w:tcPr>
            <w:tcW w:w="2970" w:type="dxa"/>
          </w:tcPr>
          <w:p w14:paraId="0B0382D7"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This can be an issue of debate- who pays whom?</w:t>
            </w:r>
          </w:p>
          <w:p w14:paraId="20BF15C6" w14:textId="77777777" w:rsidR="001B7EBB" w:rsidRPr="00C07A16" w:rsidRDefault="001B7EBB" w:rsidP="009A32B0">
            <w:pPr>
              <w:rPr>
                <w:rFonts w:asciiTheme="minorBidi" w:hAnsiTheme="minorBidi"/>
                <w:sz w:val="24"/>
                <w:szCs w:val="24"/>
              </w:rPr>
            </w:pPr>
          </w:p>
          <w:p w14:paraId="5DB31216" w14:textId="77777777" w:rsidR="001B7EBB" w:rsidRPr="00C07A16" w:rsidRDefault="001B7EBB" w:rsidP="009A32B0">
            <w:pPr>
              <w:rPr>
                <w:rFonts w:asciiTheme="minorBidi" w:hAnsiTheme="minorBidi"/>
                <w:sz w:val="24"/>
                <w:szCs w:val="24"/>
              </w:rPr>
            </w:pPr>
          </w:p>
        </w:tc>
      </w:tr>
      <w:tr w:rsidR="001B7EBB" w:rsidRPr="00C07A16" w14:paraId="5532B7DD" w14:textId="77777777" w:rsidTr="00F01E58">
        <w:tc>
          <w:tcPr>
            <w:tcW w:w="3870" w:type="dxa"/>
          </w:tcPr>
          <w:p w14:paraId="0D2E44BB" w14:textId="77777777" w:rsidR="001B7EBB" w:rsidRPr="00C07A16" w:rsidRDefault="001B7EBB" w:rsidP="009A32B0">
            <w:pPr>
              <w:rPr>
                <w:rFonts w:asciiTheme="minorBidi" w:hAnsiTheme="minorBidi"/>
                <w:sz w:val="24"/>
                <w:szCs w:val="24"/>
                <w:lang w:bidi="ar-JO"/>
              </w:rPr>
            </w:pPr>
            <w:r w:rsidRPr="00C07A16">
              <w:rPr>
                <w:rFonts w:asciiTheme="minorBidi" w:hAnsiTheme="minorBidi"/>
                <w:b/>
                <w:bCs/>
                <w:sz w:val="24"/>
                <w:szCs w:val="24"/>
                <w:lang w:bidi="ar-JO"/>
              </w:rPr>
              <w:t xml:space="preserve">13- </w:t>
            </w:r>
            <w:r w:rsidRPr="00C07A16">
              <w:rPr>
                <w:rFonts w:asciiTheme="minorBidi" w:hAnsiTheme="minorBidi"/>
                <w:sz w:val="24"/>
                <w:szCs w:val="24"/>
                <w:lang w:bidi="ar-JO"/>
              </w:rPr>
              <w:t>Preparing vocational standards, conditions of licensing and accreditation for technical and vocational training providers, registration of qualifications, examination bodies, classification of vocational trainers, fees and wages for vocational tests and other issues related to the commission under a bylaw issued for this purpose.</w:t>
            </w:r>
          </w:p>
          <w:p w14:paraId="430F6D7C" w14:textId="77777777" w:rsidR="001B7EBB" w:rsidRPr="00C07A16" w:rsidRDefault="001B7EBB" w:rsidP="009A32B0">
            <w:pPr>
              <w:rPr>
                <w:rFonts w:asciiTheme="minorBidi" w:hAnsiTheme="minorBidi"/>
                <w:sz w:val="24"/>
                <w:szCs w:val="24"/>
                <w:lang w:bidi="ar-JO"/>
              </w:rPr>
            </w:pPr>
            <w:r w:rsidRPr="00C07A16">
              <w:rPr>
                <w:rFonts w:asciiTheme="minorBidi" w:hAnsiTheme="minorBidi"/>
                <w:b/>
                <w:bCs/>
                <w:sz w:val="24"/>
                <w:szCs w:val="24"/>
                <w:lang w:bidi="ar-JO"/>
              </w:rPr>
              <w:t xml:space="preserve">14- </w:t>
            </w:r>
            <w:r w:rsidRPr="00C07A16">
              <w:rPr>
                <w:rFonts w:asciiTheme="minorBidi" w:hAnsiTheme="minorBidi"/>
                <w:sz w:val="24"/>
                <w:szCs w:val="24"/>
                <w:lang w:bidi="ar-JO"/>
              </w:rPr>
              <w:t>Licensing and accreditation of TVET providers in the public and private sectors.</w:t>
            </w:r>
          </w:p>
          <w:p w14:paraId="41E806B0" w14:textId="77777777" w:rsidR="001B7EBB" w:rsidRPr="00C07A16" w:rsidRDefault="001B7EBB" w:rsidP="009A32B0">
            <w:pPr>
              <w:rPr>
                <w:rFonts w:asciiTheme="minorBidi" w:hAnsiTheme="minorBidi"/>
                <w:sz w:val="24"/>
                <w:szCs w:val="24"/>
              </w:rPr>
            </w:pPr>
            <w:r w:rsidRPr="00C07A16">
              <w:rPr>
                <w:rFonts w:asciiTheme="minorBidi" w:hAnsiTheme="minorBidi"/>
                <w:b/>
                <w:bCs/>
                <w:sz w:val="24"/>
                <w:szCs w:val="24"/>
                <w:lang w:bidi="ar-JO"/>
              </w:rPr>
              <w:t xml:space="preserve">15- </w:t>
            </w:r>
            <w:r w:rsidRPr="00C07A16">
              <w:rPr>
                <w:rFonts w:asciiTheme="minorBidi" w:hAnsiTheme="minorBidi"/>
                <w:color w:val="FF0000"/>
                <w:sz w:val="24"/>
                <w:szCs w:val="24"/>
                <w:lang w:bidi="ar-JO"/>
              </w:rPr>
              <w:t>Licensing bodies to carry out licensing tests for vocational and technical levels for accreditation</w:t>
            </w:r>
          </w:p>
        </w:tc>
        <w:tc>
          <w:tcPr>
            <w:tcW w:w="3780" w:type="dxa"/>
          </w:tcPr>
          <w:p w14:paraId="7D556334"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Standards of Entry, progression, progression routes</w:t>
            </w:r>
          </w:p>
        </w:tc>
        <w:tc>
          <w:tcPr>
            <w:tcW w:w="2970" w:type="dxa"/>
          </w:tcPr>
          <w:p w14:paraId="4FCBB6DA" w14:textId="77777777" w:rsidR="001B7EBB" w:rsidRPr="00C07A16" w:rsidRDefault="001B7EBB" w:rsidP="009A32B0">
            <w:pPr>
              <w:rPr>
                <w:rFonts w:asciiTheme="minorBidi" w:hAnsiTheme="minorBidi"/>
                <w:sz w:val="24"/>
                <w:szCs w:val="24"/>
              </w:rPr>
            </w:pPr>
            <w:r w:rsidRPr="00C07A16">
              <w:rPr>
                <w:rFonts w:asciiTheme="minorBidi" w:hAnsiTheme="minorBidi"/>
                <w:sz w:val="24"/>
                <w:szCs w:val="24"/>
              </w:rPr>
              <w:t>No direct conflict if general policies remain AQACHEI responsibilities and TVSDC specifically develop standards/accreditation criteria in line with general NQF policies/standards which are developed jointly by the 3 ministries and approved by NQF board/commission (which includes rep from TVSDC/MoE etc)</w:t>
            </w:r>
          </w:p>
        </w:tc>
      </w:tr>
      <w:tr w:rsidR="001B7EBB" w:rsidRPr="00C07A16" w14:paraId="7E8DE89F" w14:textId="77777777" w:rsidTr="00F01E58">
        <w:tc>
          <w:tcPr>
            <w:tcW w:w="3870" w:type="dxa"/>
          </w:tcPr>
          <w:p w14:paraId="15C47DFE" w14:textId="77777777" w:rsidR="001B7EBB" w:rsidRPr="00C07A16" w:rsidRDefault="001B7EBB" w:rsidP="009A32B0">
            <w:pPr>
              <w:rPr>
                <w:rFonts w:asciiTheme="minorBidi" w:hAnsiTheme="minorBidi"/>
                <w:sz w:val="24"/>
                <w:szCs w:val="24"/>
              </w:rPr>
            </w:pPr>
          </w:p>
        </w:tc>
        <w:tc>
          <w:tcPr>
            <w:tcW w:w="3780" w:type="dxa"/>
          </w:tcPr>
          <w:p w14:paraId="2E22318C" w14:textId="77777777" w:rsidR="001B7EBB" w:rsidRPr="00C07A16" w:rsidRDefault="001B7EBB" w:rsidP="009A32B0">
            <w:pPr>
              <w:rPr>
                <w:rFonts w:asciiTheme="minorBidi" w:hAnsiTheme="minorBidi"/>
                <w:sz w:val="24"/>
                <w:szCs w:val="24"/>
              </w:rPr>
            </w:pPr>
          </w:p>
        </w:tc>
        <w:tc>
          <w:tcPr>
            <w:tcW w:w="2970" w:type="dxa"/>
          </w:tcPr>
          <w:p w14:paraId="70D38B24" w14:textId="77777777" w:rsidR="001B7EBB" w:rsidRPr="00C07A16" w:rsidRDefault="001B7EBB" w:rsidP="009A32B0">
            <w:pPr>
              <w:rPr>
                <w:rFonts w:asciiTheme="minorBidi" w:hAnsiTheme="minorBidi"/>
                <w:sz w:val="24"/>
                <w:szCs w:val="24"/>
              </w:rPr>
            </w:pPr>
          </w:p>
        </w:tc>
      </w:tr>
    </w:tbl>
    <w:p w14:paraId="25222867" w14:textId="77777777" w:rsidR="001B7EBB" w:rsidRPr="00C07A16" w:rsidRDefault="001B7EBB" w:rsidP="001B7EBB">
      <w:pPr>
        <w:rPr>
          <w:rFonts w:asciiTheme="minorBidi" w:hAnsiTheme="minorBidi"/>
          <w:sz w:val="24"/>
          <w:szCs w:val="24"/>
        </w:rPr>
      </w:pPr>
    </w:p>
    <w:p w14:paraId="653B81BD" w14:textId="77777777" w:rsidR="001B7EBB" w:rsidRPr="00C07A16" w:rsidRDefault="001B7EBB" w:rsidP="001F495D">
      <w:pPr>
        <w:rPr>
          <w:rFonts w:asciiTheme="minorBidi" w:hAnsiTheme="minorBidi"/>
          <w:sz w:val="24"/>
          <w:szCs w:val="24"/>
        </w:rPr>
      </w:pPr>
    </w:p>
    <w:p w14:paraId="2F331C92" w14:textId="56DBDDE3" w:rsidR="001B7EBB" w:rsidRPr="00C07A16" w:rsidRDefault="001B7EBB" w:rsidP="001F495D">
      <w:pPr>
        <w:rPr>
          <w:rFonts w:asciiTheme="minorBidi" w:hAnsiTheme="minorBidi"/>
          <w:sz w:val="24"/>
          <w:szCs w:val="24"/>
        </w:rPr>
      </w:pPr>
    </w:p>
    <w:p w14:paraId="4BDC26EE" w14:textId="77777777" w:rsidR="001B7EBB" w:rsidRPr="00C07A16" w:rsidRDefault="001B7EBB" w:rsidP="001F495D">
      <w:pPr>
        <w:rPr>
          <w:rFonts w:asciiTheme="minorBidi" w:hAnsiTheme="minorBidi"/>
          <w:sz w:val="24"/>
          <w:szCs w:val="24"/>
        </w:rPr>
      </w:pPr>
    </w:p>
    <w:p w14:paraId="551D50B1" w14:textId="77777777" w:rsidR="001F495D" w:rsidRPr="00C07A16" w:rsidRDefault="001F495D" w:rsidP="001F495D">
      <w:pPr>
        <w:rPr>
          <w:rFonts w:asciiTheme="minorBidi" w:hAnsiTheme="minorBidi"/>
          <w:sz w:val="24"/>
          <w:szCs w:val="24"/>
        </w:rPr>
      </w:pPr>
    </w:p>
    <w:p w14:paraId="4774E465" w14:textId="6A6AC0DE" w:rsidR="00673CB7" w:rsidRPr="00C07A16" w:rsidRDefault="00673CB7" w:rsidP="00673CB7">
      <w:pPr>
        <w:rPr>
          <w:rFonts w:asciiTheme="minorBidi" w:hAnsiTheme="minorBidi"/>
          <w:sz w:val="24"/>
          <w:szCs w:val="24"/>
        </w:rPr>
      </w:pPr>
    </w:p>
    <w:bookmarkEnd w:id="0"/>
    <w:p w14:paraId="1C75FE1C" w14:textId="77777777" w:rsidR="00673CB7" w:rsidRPr="00C07A16" w:rsidRDefault="00673CB7" w:rsidP="00673CB7">
      <w:pPr>
        <w:rPr>
          <w:rFonts w:asciiTheme="minorBidi" w:hAnsiTheme="minorBidi"/>
          <w:sz w:val="24"/>
          <w:szCs w:val="24"/>
        </w:rPr>
      </w:pPr>
    </w:p>
    <w:sectPr w:rsidR="00673CB7" w:rsidRPr="00C07A16" w:rsidSect="00E6256B">
      <w:headerReference w:type="default" r:id="rId8"/>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108A" w14:textId="77777777" w:rsidR="00253F9B" w:rsidRDefault="00253F9B" w:rsidP="0037019F">
      <w:pPr>
        <w:spacing w:after="0" w:line="240" w:lineRule="auto"/>
      </w:pPr>
      <w:r>
        <w:separator/>
      </w:r>
    </w:p>
  </w:endnote>
  <w:endnote w:type="continuationSeparator" w:id="0">
    <w:p w14:paraId="004E872A" w14:textId="77777777" w:rsidR="00253F9B" w:rsidRDefault="00253F9B" w:rsidP="0037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38F3" w14:textId="77777777" w:rsidR="00253F9B" w:rsidRDefault="00253F9B" w:rsidP="0037019F">
      <w:pPr>
        <w:spacing w:after="0" w:line="240" w:lineRule="auto"/>
      </w:pPr>
      <w:r>
        <w:separator/>
      </w:r>
    </w:p>
  </w:footnote>
  <w:footnote w:type="continuationSeparator" w:id="0">
    <w:p w14:paraId="756802D5" w14:textId="77777777" w:rsidR="00253F9B" w:rsidRDefault="00253F9B" w:rsidP="0037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679D" w14:textId="0D03F439" w:rsidR="0037019F" w:rsidRPr="00DF20CD" w:rsidRDefault="0037019F" w:rsidP="0037019F">
    <w:pPr>
      <w:spacing w:after="40" w:line="240" w:lineRule="auto"/>
      <w:jc w:val="center"/>
      <w:rPr>
        <w:rFonts w:ascii="Arial" w:hAnsi="Arial" w:cs="Arial"/>
        <w:b/>
        <w:bCs/>
        <w:sz w:val="20"/>
        <w:szCs w:val="20"/>
      </w:rPr>
    </w:pPr>
    <w:r w:rsidRPr="00DF20CD">
      <w:rPr>
        <w:rFonts w:ascii="Arial" w:hAnsi="Arial" w:cs="Arial"/>
        <w:b/>
        <w:bCs/>
        <w:noProof/>
        <w:sz w:val="20"/>
        <w:szCs w:val="20"/>
        <w:lang w:val="en-US"/>
      </w:rPr>
      <w:drawing>
        <wp:anchor distT="0" distB="0" distL="114300" distR="114300" simplePos="0" relativeHeight="251659264" behindDoc="0" locked="0" layoutInCell="1" allowOverlap="1" wp14:anchorId="293F9C03" wp14:editId="15E3B28F">
          <wp:simplePos x="0" y="0"/>
          <wp:positionH relativeFrom="margin">
            <wp:posOffset>-139618</wp:posOffset>
          </wp:positionH>
          <wp:positionV relativeFrom="topMargin">
            <wp:posOffset>466228</wp:posOffset>
          </wp:positionV>
          <wp:extent cx="914400" cy="552450"/>
          <wp:effectExtent l="19050" t="0" r="0" b="0"/>
          <wp:wrapSquare wrapText="bothSides"/>
          <wp:docPr id="39" name="Picture 39"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noProof/>
        <w:sz w:val="20"/>
        <w:szCs w:val="20"/>
        <w:lang w:val="en-US"/>
      </w:rPr>
      <w:drawing>
        <wp:anchor distT="0" distB="0" distL="114300" distR="114300" simplePos="0" relativeHeight="251663360" behindDoc="0" locked="0" layoutInCell="1" allowOverlap="1" wp14:anchorId="7B4F2183" wp14:editId="3312BA4A">
          <wp:simplePos x="0" y="0"/>
          <wp:positionH relativeFrom="margin">
            <wp:posOffset>5186763</wp:posOffset>
          </wp:positionH>
          <wp:positionV relativeFrom="topMargin">
            <wp:posOffset>410513</wp:posOffset>
          </wp:positionV>
          <wp:extent cx="914400" cy="542925"/>
          <wp:effectExtent l="0" t="0" r="0" b="9525"/>
          <wp:wrapSquare wrapText="bothSides"/>
          <wp:docPr id="2"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noProof/>
        <w:sz w:val="20"/>
        <w:szCs w:val="20"/>
        <w:lang w:val="en-US"/>
      </w:rPr>
      <w:drawing>
        <wp:anchor distT="0" distB="0" distL="114300" distR="114300" simplePos="0" relativeHeight="251661312" behindDoc="0" locked="0" layoutInCell="1" allowOverlap="1" wp14:anchorId="46B87E46" wp14:editId="347A6FAE">
          <wp:simplePos x="0" y="0"/>
          <wp:positionH relativeFrom="margin">
            <wp:posOffset>6941489</wp:posOffset>
          </wp:positionH>
          <wp:positionV relativeFrom="topMargin">
            <wp:posOffset>476250</wp:posOffset>
          </wp:positionV>
          <wp:extent cx="914400" cy="542925"/>
          <wp:effectExtent l="0" t="0" r="0" b="9525"/>
          <wp:wrapSquare wrapText="bothSides"/>
          <wp:docPr id="38"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sz w:val="20"/>
        <w:szCs w:val="20"/>
      </w:rPr>
      <w:t>EU Funded Project “Technical Assistance to the Skills for Employment and Social Inclusion Programme”</w:t>
    </w:r>
  </w:p>
  <w:p w14:paraId="1B61CE93" w14:textId="19D384D1" w:rsidR="0037019F" w:rsidRPr="00DF20CD" w:rsidRDefault="0037019F" w:rsidP="0037019F">
    <w:pPr>
      <w:tabs>
        <w:tab w:val="center" w:pos="4680"/>
        <w:tab w:val="right" w:pos="9360"/>
      </w:tabs>
      <w:bidi/>
      <w:spacing w:after="0" w:line="240" w:lineRule="auto"/>
      <w:jc w:val="center"/>
      <w:rPr>
        <w:b/>
        <w:bCs/>
        <w:sz w:val="24"/>
        <w:szCs w:val="24"/>
      </w:rPr>
    </w:pPr>
    <w:r w:rsidRPr="00DF20CD">
      <w:rPr>
        <w:b/>
        <w:bCs/>
        <w:noProof/>
        <w:sz w:val="24"/>
        <w:szCs w:val="24"/>
        <w:lang w:val="en-US"/>
      </w:rPr>
      <mc:AlternateContent>
        <mc:Choice Requires="wps">
          <w:drawing>
            <wp:anchor distT="0" distB="0" distL="114300" distR="114300" simplePos="0" relativeHeight="251660288" behindDoc="0" locked="0" layoutInCell="1" allowOverlap="1" wp14:anchorId="25145804" wp14:editId="18814D06">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95F82"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"/>
          </w:pict>
        </mc:Fallback>
      </mc:AlternateContent>
    </w:r>
    <w:r w:rsidRPr="00DF20CD">
      <w:rPr>
        <w:rFonts w:hint="cs"/>
        <w:b/>
        <w:bCs/>
        <w:sz w:val="24"/>
        <w:szCs w:val="24"/>
        <w:rtl/>
        <w:lang w:bidi="ar-JO"/>
      </w:rPr>
      <w:t>المشروع الاوروبي " الدعم الفني لبرنامج المهارات للتشغيل والاندماج الاجتماعي"</w:t>
    </w:r>
    <w:r w:rsidRPr="00DF20CD">
      <w:rPr>
        <w:b/>
        <w:bCs/>
        <w:sz w:val="24"/>
        <w:szCs w:val="24"/>
        <w:rtl/>
        <w:lang w:bidi="ar-JO"/>
      </w:rPr>
      <w:br/>
    </w:r>
  </w:p>
  <w:p w14:paraId="123E9D65" w14:textId="77777777" w:rsidR="0037019F" w:rsidRDefault="0037019F" w:rsidP="0037019F">
    <w:pPr>
      <w:pStyle w:val="Header"/>
    </w:pPr>
  </w:p>
  <w:p w14:paraId="0728E3D1" w14:textId="77777777" w:rsidR="0037019F" w:rsidRDefault="0037019F" w:rsidP="0037019F">
    <w:pPr>
      <w:pStyle w:val="Header"/>
    </w:pPr>
  </w:p>
  <w:p w14:paraId="3CBECDB8" w14:textId="796EE044" w:rsidR="0037019F" w:rsidRDefault="0037019F" w:rsidP="0037019F">
    <w:pPr>
      <w:pStyle w:val="Header"/>
    </w:pPr>
  </w:p>
  <w:p w14:paraId="20844331" w14:textId="77777777" w:rsidR="0037019F" w:rsidRDefault="003701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F8D"/>
    <w:multiLevelType w:val="hybridMultilevel"/>
    <w:tmpl w:val="C14E4F6E"/>
    <w:lvl w:ilvl="0" w:tplc="BA6429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2A"/>
    <w:rsid w:val="0001372A"/>
    <w:rsid w:val="00106619"/>
    <w:rsid w:val="001B7EBB"/>
    <w:rsid w:val="001E1701"/>
    <w:rsid w:val="001F495D"/>
    <w:rsid w:val="00253F9B"/>
    <w:rsid w:val="00270908"/>
    <w:rsid w:val="002A615D"/>
    <w:rsid w:val="00332677"/>
    <w:rsid w:val="0037019F"/>
    <w:rsid w:val="00375BCF"/>
    <w:rsid w:val="00395D7A"/>
    <w:rsid w:val="003E5164"/>
    <w:rsid w:val="004C3205"/>
    <w:rsid w:val="005523D3"/>
    <w:rsid w:val="0059069F"/>
    <w:rsid w:val="00673CB7"/>
    <w:rsid w:val="00687605"/>
    <w:rsid w:val="00795C6A"/>
    <w:rsid w:val="007F76E9"/>
    <w:rsid w:val="0084334D"/>
    <w:rsid w:val="009033B3"/>
    <w:rsid w:val="00952661"/>
    <w:rsid w:val="00A01C6C"/>
    <w:rsid w:val="00AA1934"/>
    <w:rsid w:val="00AC4FA3"/>
    <w:rsid w:val="00AC67BE"/>
    <w:rsid w:val="00AE58B9"/>
    <w:rsid w:val="00B12C92"/>
    <w:rsid w:val="00B8573C"/>
    <w:rsid w:val="00BB62B4"/>
    <w:rsid w:val="00C07A16"/>
    <w:rsid w:val="00CC42C5"/>
    <w:rsid w:val="00CE3D1A"/>
    <w:rsid w:val="00DB76F5"/>
    <w:rsid w:val="00E6256B"/>
    <w:rsid w:val="00E94539"/>
    <w:rsid w:val="00EA6F1A"/>
    <w:rsid w:val="00EB72F5"/>
    <w:rsid w:val="00ED6401"/>
    <w:rsid w:val="00EF2F92"/>
    <w:rsid w:val="00F01E58"/>
    <w:rsid w:val="00F15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4385"/>
  <w15:chartTrackingRefBased/>
  <w15:docId w15:val="{02D16787-A175-4A51-992A-4209086A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C92"/>
    <w:rPr>
      <w:sz w:val="16"/>
      <w:szCs w:val="16"/>
    </w:rPr>
  </w:style>
  <w:style w:type="paragraph" w:styleId="CommentText">
    <w:name w:val="annotation text"/>
    <w:basedOn w:val="Normal"/>
    <w:link w:val="CommentTextChar"/>
    <w:uiPriority w:val="99"/>
    <w:semiHidden/>
    <w:unhideWhenUsed/>
    <w:rsid w:val="00B12C9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12C92"/>
    <w:rPr>
      <w:sz w:val="20"/>
      <w:szCs w:val="20"/>
    </w:rPr>
  </w:style>
  <w:style w:type="paragraph" w:styleId="BalloonText">
    <w:name w:val="Balloon Text"/>
    <w:basedOn w:val="Normal"/>
    <w:link w:val="BalloonTextChar"/>
    <w:uiPriority w:val="99"/>
    <w:semiHidden/>
    <w:unhideWhenUsed/>
    <w:rsid w:val="00B1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92"/>
    <w:rPr>
      <w:rFonts w:ascii="Segoe UI" w:hAnsi="Segoe UI" w:cs="Segoe UI"/>
      <w:sz w:val="18"/>
      <w:szCs w:val="18"/>
      <w:lang w:val="en-GB"/>
    </w:rPr>
  </w:style>
  <w:style w:type="paragraph" w:styleId="ListParagraph">
    <w:name w:val="List Paragraph"/>
    <w:basedOn w:val="Normal"/>
    <w:uiPriority w:val="34"/>
    <w:qFormat/>
    <w:rsid w:val="00B12C92"/>
    <w:pPr>
      <w:ind w:left="720"/>
      <w:contextualSpacing/>
    </w:pPr>
    <w:rPr>
      <w:lang w:val="en-US"/>
    </w:rPr>
  </w:style>
  <w:style w:type="paragraph" w:styleId="Header">
    <w:name w:val="header"/>
    <w:basedOn w:val="Normal"/>
    <w:link w:val="HeaderChar"/>
    <w:uiPriority w:val="99"/>
    <w:unhideWhenUsed/>
    <w:rsid w:val="00370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9F"/>
    <w:rPr>
      <w:lang w:val="en-GB"/>
    </w:rPr>
  </w:style>
  <w:style w:type="paragraph" w:styleId="Footer">
    <w:name w:val="footer"/>
    <w:basedOn w:val="Normal"/>
    <w:link w:val="FooterChar"/>
    <w:uiPriority w:val="99"/>
    <w:unhideWhenUsed/>
    <w:rsid w:val="00370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john</dc:creator>
  <cp:keywords/>
  <dc:description/>
  <cp:lastModifiedBy>Alhamran, Feras GIZ JO</cp:lastModifiedBy>
  <cp:revision>32</cp:revision>
  <dcterms:created xsi:type="dcterms:W3CDTF">2019-05-20T08:14:00Z</dcterms:created>
  <dcterms:modified xsi:type="dcterms:W3CDTF">2020-03-18T13:41:00Z</dcterms:modified>
</cp:coreProperties>
</file>