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8B80" w14:textId="77777777" w:rsidR="00E65411" w:rsidRPr="00656114" w:rsidRDefault="00E65411" w:rsidP="00FE7367">
      <w:pPr>
        <w:spacing w:after="0" w:line="276" w:lineRule="auto"/>
        <w:jc w:val="center"/>
        <w:rPr>
          <w:rFonts w:asciiTheme="minorBidi" w:hAnsiTheme="minorBidi"/>
          <w:b/>
          <w:bCs/>
          <w:color w:val="FF0000"/>
          <w:sz w:val="24"/>
          <w:szCs w:val="24"/>
          <w:shd w:val="clear" w:color="auto" w:fill="FFFFFF"/>
          <w:rtl/>
          <w:lang w:val="en-GB" w:bidi="ar-EG"/>
        </w:rPr>
      </w:pPr>
      <w:bookmarkStart w:id="0" w:name="_GoBack"/>
    </w:p>
    <w:p w14:paraId="3D0097C0" w14:textId="77777777" w:rsidR="00E65411" w:rsidRPr="00656114" w:rsidRDefault="00E65411" w:rsidP="00FE7367">
      <w:pPr>
        <w:spacing w:after="0" w:line="276" w:lineRule="auto"/>
        <w:jc w:val="center"/>
        <w:rPr>
          <w:rFonts w:asciiTheme="minorBidi" w:hAnsiTheme="minorBidi"/>
          <w:b/>
          <w:bCs/>
          <w:color w:val="FF0000"/>
          <w:sz w:val="24"/>
          <w:szCs w:val="24"/>
          <w:shd w:val="clear" w:color="auto" w:fill="FFFFFF"/>
          <w:rtl/>
          <w:lang w:val="en-GB" w:bidi="ar-EG"/>
        </w:rPr>
      </w:pPr>
    </w:p>
    <w:p w14:paraId="5ACA69F4" w14:textId="77777777" w:rsidR="00E65411" w:rsidRPr="00656114" w:rsidRDefault="00E65411" w:rsidP="00FE7367">
      <w:pPr>
        <w:spacing w:after="0" w:line="276" w:lineRule="auto"/>
        <w:jc w:val="center"/>
        <w:rPr>
          <w:rFonts w:asciiTheme="minorBidi" w:hAnsiTheme="minorBidi"/>
          <w:b/>
          <w:bCs/>
          <w:color w:val="002060"/>
          <w:sz w:val="24"/>
          <w:szCs w:val="24"/>
          <w:shd w:val="clear" w:color="auto" w:fill="FFFFFF"/>
          <w:lang w:val="en-GB"/>
        </w:rPr>
      </w:pPr>
    </w:p>
    <w:p w14:paraId="224FA13D" w14:textId="7D4535DA" w:rsidR="00E65411" w:rsidRPr="00656114" w:rsidRDefault="00ED2488" w:rsidP="00FE7367">
      <w:pPr>
        <w:spacing w:after="0" w:line="276" w:lineRule="auto"/>
        <w:jc w:val="center"/>
        <w:rPr>
          <w:rFonts w:asciiTheme="minorBidi" w:hAnsiTheme="minorBidi"/>
          <w:b/>
          <w:bCs/>
          <w:color w:val="002060"/>
          <w:sz w:val="24"/>
          <w:szCs w:val="24"/>
          <w:shd w:val="clear" w:color="auto" w:fill="FFFFFF"/>
          <w:lang w:val="en-GB"/>
        </w:rPr>
      </w:pPr>
      <w:r w:rsidRPr="00656114">
        <w:rPr>
          <w:rFonts w:asciiTheme="minorBidi" w:hAnsiTheme="minorBidi"/>
          <w:b/>
          <w:bCs/>
          <w:noProof/>
          <w:color w:val="002060"/>
          <w:sz w:val="24"/>
          <w:szCs w:val="24"/>
          <w:shd w:val="clear" w:color="auto" w:fill="FFFFFF"/>
        </w:rPr>
        <w:drawing>
          <wp:inline distT="0" distB="0" distL="0" distR="0" wp14:anchorId="632FE2CE" wp14:editId="6531F8F1">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63E974B4" w14:textId="77777777" w:rsidR="00E65411" w:rsidRPr="00656114" w:rsidRDefault="00E65411" w:rsidP="00FE7367">
      <w:pPr>
        <w:spacing w:after="0" w:line="276" w:lineRule="auto"/>
        <w:jc w:val="center"/>
        <w:rPr>
          <w:rFonts w:asciiTheme="minorBidi" w:hAnsiTheme="minorBidi"/>
          <w:b/>
          <w:bCs/>
          <w:color w:val="002060"/>
          <w:sz w:val="24"/>
          <w:szCs w:val="24"/>
          <w:shd w:val="clear" w:color="auto" w:fill="FFFFFF"/>
          <w:lang w:val="en-GB"/>
        </w:rPr>
      </w:pPr>
    </w:p>
    <w:p w14:paraId="0E2F0B8A" w14:textId="77777777" w:rsidR="00E65411" w:rsidRPr="00656114" w:rsidRDefault="00E65411" w:rsidP="00FE7367">
      <w:pPr>
        <w:spacing w:after="0" w:line="276" w:lineRule="auto"/>
        <w:jc w:val="center"/>
        <w:rPr>
          <w:rFonts w:asciiTheme="minorBidi" w:hAnsiTheme="minorBidi"/>
          <w:b/>
          <w:bCs/>
          <w:color w:val="002060"/>
          <w:sz w:val="24"/>
          <w:szCs w:val="24"/>
          <w:shd w:val="clear" w:color="auto" w:fill="FFFFFF"/>
          <w:lang w:val="en-GB"/>
        </w:rPr>
      </w:pPr>
    </w:p>
    <w:p w14:paraId="0A4B3CFB" w14:textId="18138647" w:rsidR="00ED2488" w:rsidRPr="00656114" w:rsidRDefault="00ED2488" w:rsidP="00FE7367">
      <w:pPr>
        <w:spacing w:line="276" w:lineRule="auto"/>
        <w:jc w:val="center"/>
        <w:rPr>
          <w:rFonts w:asciiTheme="minorBidi" w:hAnsiTheme="minorBidi"/>
          <w:b/>
          <w:bCs/>
          <w:sz w:val="24"/>
          <w:szCs w:val="24"/>
          <w:lang w:val="en-GB"/>
        </w:rPr>
      </w:pPr>
    </w:p>
    <w:p w14:paraId="40130C2A" w14:textId="77777777" w:rsidR="00ED2488" w:rsidRPr="00656114" w:rsidRDefault="00ED2488" w:rsidP="00FE7367">
      <w:pPr>
        <w:spacing w:line="276" w:lineRule="auto"/>
        <w:jc w:val="center"/>
        <w:rPr>
          <w:rFonts w:asciiTheme="minorBidi" w:hAnsiTheme="minorBidi"/>
          <w:b/>
          <w:bCs/>
          <w:sz w:val="24"/>
          <w:szCs w:val="24"/>
          <w:lang w:val="en-GB"/>
        </w:rPr>
      </w:pPr>
    </w:p>
    <w:p w14:paraId="5B41B1C3" w14:textId="77777777" w:rsidR="00ED2488" w:rsidRPr="00656114" w:rsidRDefault="00ED2488" w:rsidP="00ED2488">
      <w:pPr>
        <w:spacing w:after="0" w:line="276" w:lineRule="auto"/>
        <w:jc w:val="center"/>
        <w:rPr>
          <w:rFonts w:asciiTheme="minorBidi" w:hAnsiTheme="minorBidi"/>
          <w:b/>
          <w:bCs/>
          <w:color w:val="FF0000"/>
          <w:shd w:val="clear" w:color="auto" w:fill="FFFFFF"/>
          <w:rtl/>
          <w:lang w:bidi="ar-EG"/>
        </w:rPr>
      </w:pPr>
    </w:p>
    <w:p w14:paraId="024D7111" w14:textId="77777777" w:rsidR="00ED2488" w:rsidRPr="00656114" w:rsidRDefault="00ED2488" w:rsidP="00ED2488">
      <w:pPr>
        <w:jc w:val="center"/>
        <w:rPr>
          <w:rFonts w:asciiTheme="minorBidi" w:hAnsiTheme="minorBidi"/>
          <w:b/>
          <w:bCs/>
          <w:color w:val="000000" w:themeColor="text1"/>
          <w:sz w:val="32"/>
          <w:szCs w:val="32"/>
          <w:shd w:val="clear" w:color="auto" w:fill="FFFFFF"/>
        </w:rPr>
      </w:pPr>
      <w:r w:rsidRPr="00656114">
        <w:rPr>
          <w:rFonts w:asciiTheme="minorBidi" w:hAnsiTheme="minorBidi"/>
          <w:b/>
          <w:bCs/>
          <w:color w:val="000000" w:themeColor="text1"/>
          <w:sz w:val="32"/>
          <w:szCs w:val="32"/>
          <w:shd w:val="clear" w:color="auto" w:fill="FFFFFF"/>
        </w:rPr>
        <w:t>Component 3: Quality Assurance and Qualifications</w:t>
      </w:r>
    </w:p>
    <w:p w14:paraId="6FF749E0" w14:textId="77777777" w:rsidR="00ED2488" w:rsidRPr="00656114" w:rsidRDefault="00ED2488" w:rsidP="00ED2488">
      <w:pPr>
        <w:rPr>
          <w:rFonts w:asciiTheme="minorBidi" w:hAnsiTheme="minorBidi"/>
          <w:b/>
          <w:bCs/>
          <w:color w:val="000000" w:themeColor="text1"/>
          <w:shd w:val="clear" w:color="auto" w:fill="FFFFFF"/>
        </w:rPr>
      </w:pPr>
    </w:p>
    <w:p w14:paraId="7CDA1920" w14:textId="77777777" w:rsidR="00ED2488" w:rsidRPr="00656114" w:rsidRDefault="00ED2488" w:rsidP="00ED2488">
      <w:pPr>
        <w:rPr>
          <w:rFonts w:asciiTheme="minorBidi" w:hAnsiTheme="minorBidi"/>
          <w:b/>
          <w:bCs/>
          <w:color w:val="000000" w:themeColor="text1"/>
          <w:shd w:val="clear" w:color="auto" w:fill="FFFFFF"/>
        </w:rPr>
      </w:pPr>
    </w:p>
    <w:p w14:paraId="5602D00B"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p>
    <w:p w14:paraId="44F413BB"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p>
    <w:p w14:paraId="62A5CFB0"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p>
    <w:p w14:paraId="0E1D7C37"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p>
    <w:p w14:paraId="1C330554"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p>
    <w:p w14:paraId="6C601598"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p>
    <w:p w14:paraId="3D295D42"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r w:rsidRPr="00656114">
        <w:rPr>
          <w:rFonts w:asciiTheme="minorBidi" w:hAnsiTheme="minorBidi"/>
          <w:b/>
          <w:bCs/>
          <w:color w:val="000000" w:themeColor="text1"/>
          <w:shd w:val="clear" w:color="auto" w:fill="FFFFFF"/>
          <w:lang w:val="en-GB"/>
        </w:rPr>
        <w:t>Amman, Jordan</w:t>
      </w:r>
    </w:p>
    <w:p w14:paraId="76EB7C53" w14:textId="77777777" w:rsidR="00ED2488" w:rsidRPr="00656114" w:rsidRDefault="00ED2488" w:rsidP="00ED2488">
      <w:pPr>
        <w:spacing w:after="0" w:line="276" w:lineRule="auto"/>
        <w:jc w:val="center"/>
        <w:rPr>
          <w:rFonts w:asciiTheme="minorBidi" w:hAnsiTheme="minorBidi"/>
          <w:b/>
          <w:bCs/>
          <w:color w:val="000000" w:themeColor="text1"/>
          <w:shd w:val="clear" w:color="auto" w:fill="FFFFFF"/>
          <w:lang w:val="en-GB"/>
        </w:rPr>
      </w:pPr>
    </w:p>
    <w:p w14:paraId="430D63B4" w14:textId="77777777" w:rsidR="00ED2488" w:rsidRPr="00656114" w:rsidRDefault="00ED2488" w:rsidP="00ED2488">
      <w:pPr>
        <w:tabs>
          <w:tab w:val="left" w:pos="6675"/>
        </w:tabs>
        <w:spacing w:after="0"/>
        <w:jc w:val="center"/>
        <w:rPr>
          <w:rFonts w:asciiTheme="minorBidi" w:hAnsiTheme="minorBidi"/>
          <w:color w:val="000000" w:themeColor="text1"/>
          <w:lang w:val="en-GB"/>
        </w:rPr>
      </w:pPr>
      <w:r w:rsidRPr="00656114">
        <w:rPr>
          <w:rFonts w:asciiTheme="minorBidi" w:hAnsiTheme="minorBidi"/>
          <w:b/>
          <w:bCs/>
          <w:color w:val="000000" w:themeColor="text1"/>
          <w:shd w:val="clear" w:color="auto" w:fill="FFFFFF"/>
          <w:rtl/>
          <w:lang w:val="en-GB"/>
        </w:rPr>
        <w:t xml:space="preserve"> </w:t>
      </w:r>
      <w:r w:rsidRPr="00656114">
        <w:rPr>
          <w:rFonts w:asciiTheme="minorBidi" w:hAnsiTheme="minorBidi"/>
          <w:b/>
          <w:bCs/>
          <w:color w:val="000000" w:themeColor="text1"/>
          <w:shd w:val="clear" w:color="auto" w:fill="FFFFFF"/>
          <w:lang w:val="en-GB"/>
        </w:rPr>
        <w:t xml:space="preserve"> </w:t>
      </w:r>
      <w:r w:rsidRPr="00656114">
        <w:rPr>
          <w:rFonts w:asciiTheme="minorBidi" w:hAnsiTheme="minorBidi"/>
          <w:color w:val="000000" w:themeColor="text1"/>
          <w:lang w:val="en-GB"/>
        </w:rPr>
        <w:t>July 2019</w:t>
      </w:r>
    </w:p>
    <w:p w14:paraId="72C0CCF5" w14:textId="77777777" w:rsidR="00ED2488" w:rsidRPr="00656114" w:rsidRDefault="00ED2488" w:rsidP="00FE7367">
      <w:pPr>
        <w:spacing w:line="276" w:lineRule="auto"/>
        <w:jc w:val="center"/>
        <w:rPr>
          <w:rFonts w:asciiTheme="minorBidi" w:hAnsiTheme="minorBidi"/>
          <w:b/>
          <w:bCs/>
          <w:sz w:val="24"/>
          <w:szCs w:val="24"/>
          <w:lang w:val="en-GB"/>
        </w:rPr>
      </w:pPr>
    </w:p>
    <w:p w14:paraId="65BB96E6" w14:textId="77777777" w:rsidR="00ED2488" w:rsidRPr="00656114" w:rsidRDefault="00ED2488" w:rsidP="00FE7367">
      <w:pPr>
        <w:spacing w:line="276" w:lineRule="auto"/>
        <w:jc w:val="center"/>
        <w:rPr>
          <w:rFonts w:asciiTheme="minorBidi" w:hAnsiTheme="minorBidi"/>
          <w:b/>
          <w:bCs/>
          <w:sz w:val="24"/>
          <w:szCs w:val="24"/>
          <w:lang w:val="en-GB"/>
        </w:rPr>
      </w:pPr>
    </w:p>
    <w:p w14:paraId="1BA6DC74" w14:textId="77777777" w:rsidR="00ED2488" w:rsidRPr="00656114" w:rsidRDefault="00ED2488" w:rsidP="00FE7367">
      <w:pPr>
        <w:spacing w:line="276" w:lineRule="auto"/>
        <w:jc w:val="center"/>
        <w:rPr>
          <w:rFonts w:asciiTheme="minorBidi" w:hAnsiTheme="minorBidi"/>
          <w:b/>
          <w:bCs/>
          <w:sz w:val="24"/>
          <w:szCs w:val="24"/>
          <w:lang w:val="en-GB"/>
        </w:rPr>
      </w:pPr>
    </w:p>
    <w:p w14:paraId="3DDA610F" w14:textId="78BA58FD" w:rsidR="00695E87" w:rsidRPr="00656114" w:rsidRDefault="00873734" w:rsidP="00FE7367">
      <w:pPr>
        <w:spacing w:line="276" w:lineRule="auto"/>
        <w:jc w:val="center"/>
        <w:rPr>
          <w:rFonts w:asciiTheme="minorBidi" w:hAnsiTheme="minorBidi"/>
          <w:b/>
          <w:bCs/>
          <w:sz w:val="36"/>
          <w:szCs w:val="36"/>
          <w:lang w:val="en-GB"/>
        </w:rPr>
      </w:pPr>
      <w:r w:rsidRPr="00656114">
        <w:rPr>
          <w:rFonts w:asciiTheme="minorBidi" w:hAnsiTheme="minorBidi"/>
          <w:b/>
          <w:bCs/>
          <w:sz w:val="36"/>
          <w:szCs w:val="36"/>
          <w:lang w:val="en-GB"/>
        </w:rPr>
        <w:t>Towards a Common Approach for a Credit System</w:t>
      </w:r>
      <w:r w:rsidR="002E6226" w:rsidRPr="00656114">
        <w:rPr>
          <w:rFonts w:asciiTheme="minorBidi" w:hAnsiTheme="minorBidi"/>
          <w:b/>
          <w:bCs/>
          <w:sz w:val="36"/>
          <w:szCs w:val="36"/>
          <w:lang w:val="en-GB"/>
        </w:rPr>
        <w:t xml:space="preserve"> underpinning the National Qualifications Framework in Jordan</w:t>
      </w:r>
    </w:p>
    <w:p w14:paraId="55A80EB4" w14:textId="016E551D" w:rsidR="00E65411" w:rsidRPr="00656114" w:rsidRDefault="00E65411" w:rsidP="00FE7367">
      <w:pPr>
        <w:spacing w:after="0" w:line="276" w:lineRule="auto"/>
        <w:rPr>
          <w:rFonts w:asciiTheme="minorBidi" w:hAnsiTheme="minorBidi"/>
          <w:b/>
          <w:bCs/>
          <w:color w:val="002060"/>
          <w:sz w:val="36"/>
          <w:szCs w:val="36"/>
          <w:shd w:val="clear" w:color="auto" w:fill="FFFFFF"/>
          <w:lang w:val="en-GB"/>
        </w:rPr>
      </w:pPr>
    </w:p>
    <w:p w14:paraId="00C3FBED" w14:textId="40B9D8D3" w:rsidR="00ED2488" w:rsidRPr="00656114" w:rsidRDefault="00ED2488" w:rsidP="00FE7367">
      <w:pPr>
        <w:spacing w:after="0" w:line="276" w:lineRule="auto"/>
        <w:rPr>
          <w:rFonts w:asciiTheme="minorBidi" w:hAnsiTheme="minorBidi"/>
          <w:b/>
          <w:bCs/>
          <w:color w:val="002060"/>
          <w:sz w:val="24"/>
          <w:szCs w:val="24"/>
          <w:shd w:val="clear" w:color="auto" w:fill="FFFFFF"/>
          <w:lang w:val="en-GB"/>
        </w:rPr>
      </w:pPr>
    </w:p>
    <w:p w14:paraId="34BFED32" w14:textId="0EC80113" w:rsidR="00ED2488" w:rsidRPr="00656114" w:rsidRDefault="00ED2488" w:rsidP="00FE7367">
      <w:pPr>
        <w:spacing w:after="0" w:line="276" w:lineRule="auto"/>
        <w:rPr>
          <w:rFonts w:asciiTheme="minorBidi" w:hAnsiTheme="minorBidi"/>
          <w:b/>
          <w:bCs/>
          <w:color w:val="002060"/>
          <w:sz w:val="24"/>
          <w:szCs w:val="24"/>
          <w:shd w:val="clear" w:color="auto" w:fill="FFFFFF"/>
          <w:lang w:val="en-GB"/>
        </w:rPr>
      </w:pPr>
    </w:p>
    <w:p w14:paraId="29DDE4BC" w14:textId="0914BD37" w:rsidR="00ED2488" w:rsidRPr="00656114" w:rsidRDefault="00ED2488" w:rsidP="00FE7367">
      <w:pPr>
        <w:spacing w:after="0" w:line="276" w:lineRule="auto"/>
        <w:rPr>
          <w:rFonts w:asciiTheme="minorBidi" w:hAnsiTheme="minorBidi"/>
          <w:b/>
          <w:bCs/>
          <w:color w:val="002060"/>
          <w:sz w:val="24"/>
          <w:szCs w:val="24"/>
          <w:shd w:val="clear" w:color="auto" w:fill="FFFFFF"/>
          <w:lang w:val="en-GB"/>
        </w:rPr>
      </w:pPr>
    </w:p>
    <w:p w14:paraId="7BAB8EB0" w14:textId="21479928" w:rsidR="00ED2488" w:rsidRPr="00656114" w:rsidRDefault="00ED2488" w:rsidP="00FE7367">
      <w:pPr>
        <w:spacing w:after="0" w:line="276" w:lineRule="auto"/>
        <w:rPr>
          <w:rFonts w:asciiTheme="minorBidi" w:hAnsiTheme="minorBidi"/>
          <w:b/>
          <w:bCs/>
          <w:color w:val="002060"/>
          <w:sz w:val="24"/>
          <w:szCs w:val="24"/>
          <w:shd w:val="clear" w:color="auto" w:fill="FFFFFF"/>
          <w:lang w:val="en-GB"/>
        </w:rPr>
      </w:pPr>
    </w:p>
    <w:p w14:paraId="52CB4D3A" w14:textId="481BD9B5" w:rsidR="00ED2488" w:rsidRPr="00656114" w:rsidRDefault="00ED2488" w:rsidP="00FE7367">
      <w:pPr>
        <w:spacing w:after="0" w:line="276" w:lineRule="auto"/>
        <w:rPr>
          <w:rFonts w:asciiTheme="minorBidi" w:hAnsiTheme="minorBidi"/>
          <w:b/>
          <w:bCs/>
          <w:color w:val="002060"/>
          <w:sz w:val="24"/>
          <w:szCs w:val="24"/>
          <w:shd w:val="clear" w:color="auto" w:fill="FFFFFF"/>
          <w:lang w:val="en-GB"/>
        </w:rPr>
      </w:pPr>
    </w:p>
    <w:p w14:paraId="6F7BBD0F" w14:textId="77777777" w:rsidR="00ED2488" w:rsidRPr="00656114" w:rsidRDefault="00ED2488" w:rsidP="00FE7367">
      <w:pPr>
        <w:spacing w:after="0" w:line="276" w:lineRule="auto"/>
        <w:rPr>
          <w:rFonts w:asciiTheme="minorBidi" w:hAnsiTheme="minorBidi"/>
          <w:b/>
          <w:bCs/>
          <w:color w:val="002060"/>
          <w:sz w:val="24"/>
          <w:szCs w:val="24"/>
          <w:shd w:val="clear" w:color="auto" w:fill="FFFFFF"/>
          <w:lang w:val="en-GB"/>
        </w:rPr>
      </w:pPr>
    </w:p>
    <w:p w14:paraId="2B48DFF1" w14:textId="77777777" w:rsidR="00E65411" w:rsidRPr="00656114" w:rsidRDefault="00E65411" w:rsidP="00FE7367">
      <w:pPr>
        <w:spacing w:after="0" w:line="276" w:lineRule="auto"/>
        <w:jc w:val="center"/>
        <w:rPr>
          <w:rFonts w:asciiTheme="minorBidi" w:hAnsiTheme="minorBidi"/>
          <w:b/>
          <w:bCs/>
          <w:color w:val="002060"/>
          <w:sz w:val="24"/>
          <w:szCs w:val="24"/>
          <w:shd w:val="clear" w:color="auto" w:fill="FFFFFF"/>
          <w:lang w:val="en-GB"/>
        </w:rPr>
      </w:pPr>
    </w:p>
    <w:p w14:paraId="25C3DE25" w14:textId="77777777" w:rsidR="00E65411" w:rsidRPr="00656114" w:rsidRDefault="00E65411" w:rsidP="00FE7367">
      <w:pPr>
        <w:spacing w:after="0" w:line="276" w:lineRule="auto"/>
        <w:jc w:val="center"/>
        <w:rPr>
          <w:rFonts w:asciiTheme="minorBidi" w:hAnsiTheme="minorBidi"/>
          <w:b/>
          <w:bCs/>
          <w:color w:val="000000" w:themeColor="text1"/>
          <w:sz w:val="24"/>
          <w:szCs w:val="24"/>
          <w:shd w:val="clear" w:color="auto" w:fill="FFFFFF"/>
          <w:lang w:val="en-GB"/>
        </w:rPr>
      </w:pPr>
      <w:r w:rsidRPr="00656114">
        <w:rPr>
          <w:rFonts w:asciiTheme="minorBidi" w:hAnsiTheme="minorBidi"/>
          <w:b/>
          <w:bCs/>
          <w:color w:val="000000" w:themeColor="text1"/>
          <w:sz w:val="24"/>
          <w:szCs w:val="24"/>
          <w:shd w:val="clear" w:color="auto" w:fill="FFFFFF"/>
          <w:lang w:val="en-GB"/>
        </w:rPr>
        <w:t>Assist in the development of an operationalisation plan of the established Jordanian National Qualification Framework in relation to TVET qualifications and in relationship with the Social Partners, as well as conduct a diagnostic analysis to review the Education sector pathways to improve the attractiveness of the E-TVET sector</w:t>
      </w:r>
    </w:p>
    <w:p w14:paraId="662DF0C1" w14:textId="48104ADC" w:rsidR="00E65411" w:rsidRPr="00656114" w:rsidRDefault="00E65411" w:rsidP="00FE7367">
      <w:pPr>
        <w:spacing w:after="0" w:line="276" w:lineRule="auto"/>
        <w:jc w:val="center"/>
        <w:rPr>
          <w:rFonts w:asciiTheme="minorBidi" w:hAnsiTheme="minorBidi"/>
          <w:b/>
          <w:bCs/>
          <w:color w:val="000000" w:themeColor="text1"/>
          <w:sz w:val="24"/>
          <w:szCs w:val="24"/>
          <w:shd w:val="clear" w:color="auto" w:fill="FFFFFF"/>
          <w:lang w:val="en-GB"/>
        </w:rPr>
      </w:pPr>
    </w:p>
    <w:p w14:paraId="3414A3CD" w14:textId="79B723DB" w:rsidR="00ED2488" w:rsidRPr="00656114" w:rsidRDefault="00ED2488" w:rsidP="00FE7367">
      <w:pPr>
        <w:spacing w:after="0" w:line="276" w:lineRule="auto"/>
        <w:jc w:val="center"/>
        <w:rPr>
          <w:rFonts w:asciiTheme="minorBidi" w:hAnsiTheme="minorBidi"/>
          <w:b/>
          <w:bCs/>
          <w:color w:val="000000" w:themeColor="text1"/>
          <w:sz w:val="24"/>
          <w:szCs w:val="24"/>
          <w:shd w:val="clear" w:color="auto" w:fill="FFFFFF"/>
          <w:lang w:val="en-GB"/>
        </w:rPr>
      </w:pPr>
    </w:p>
    <w:p w14:paraId="01E791D5" w14:textId="60E1AE8F" w:rsidR="00ED2488" w:rsidRPr="00656114" w:rsidRDefault="00ED2488" w:rsidP="00FE7367">
      <w:pPr>
        <w:spacing w:after="0" w:line="276" w:lineRule="auto"/>
        <w:jc w:val="center"/>
        <w:rPr>
          <w:rFonts w:asciiTheme="minorBidi" w:hAnsiTheme="minorBidi"/>
          <w:b/>
          <w:bCs/>
          <w:color w:val="000000" w:themeColor="text1"/>
          <w:sz w:val="24"/>
          <w:szCs w:val="24"/>
          <w:shd w:val="clear" w:color="auto" w:fill="FFFFFF"/>
          <w:lang w:val="en-GB"/>
        </w:rPr>
      </w:pPr>
    </w:p>
    <w:p w14:paraId="4CF27ED6" w14:textId="08D022D6" w:rsidR="00ED2488" w:rsidRPr="00656114" w:rsidRDefault="00ED2488" w:rsidP="00FE7367">
      <w:pPr>
        <w:spacing w:after="0" w:line="276" w:lineRule="auto"/>
        <w:jc w:val="center"/>
        <w:rPr>
          <w:rFonts w:asciiTheme="minorBidi" w:hAnsiTheme="minorBidi"/>
          <w:b/>
          <w:bCs/>
          <w:color w:val="000000" w:themeColor="text1"/>
          <w:sz w:val="24"/>
          <w:szCs w:val="24"/>
          <w:shd w:val="clear" w:color="auto" w:fill="FFFFFF"/>
          <w:lang w:val="en-GB"/>
        </w:rPr>
      </w:pPr>
    </w:p>
    <w:p w14:paraId="33D510C2" w14:textId="77777777" w:rsidR="00ED2488" w:rsidRPr="00656114" w:rsidRDefault="00ED2488" w:rsidP="00FE7367">
      <w:pPr>
        <w:spacing w:after="0" w:line="276" w:lineRule="auto"/>
        <w:jc w:val="center"/>
        <w:rPr>
          <w:rFonts w:asciiTheme="minorBidi" w:hAnsiTheme="minorBidi"/>
          <w:b/>
          <w:bCs/>
          <w:color w:val="000000" w:themeColor="text1"/>
          <w:sz w:val="24"/>
          <w:szCs w:val="24"/>
          <w:shd w:val="clear" w:color="auto" w:fill="FFFFFF"/>
          <w:lang w:val="en-GB"/>
        </w:rPr>
      </w:pPr>
    </w:p>
    <w:p w14:paraId="6AB4CC3A" w14:textId="1BD2E89D" w:rsidR="00E65411" w:rsidRPr="00656114" w:rsidRDefault="00E65411" w:rsidP="00FE7367">
      <w:pPr>
        <w:spacing w:after="0" w:line="276" w:lineRule="auto"/>
        <w:jc w:val="center"/>
        <w:rPr>
          <w:rFonts w:asciiTheme="minorBidi" w:hAnsiTheme="minorBidi"/>
          <w:b/>
          <w:bCs/>
          <w:color w:val="000000" w:themeColor="text1"/>
          <w:sz w:val="24"/>
          <w:szCs w:val="24"/>
          <w:shd w:val="clear" w:color="auto" w:fill="FFFFFF"/>
          <w:lang w:val="en-GB"/>
        </w:rPr>
      </w:pPr>
    </w:p>
    <w:p w14:paraId="06C732D0" w14:textId="77777777" w:rsidR="00ED2488" w:rsidRPr="00656114" w:rsidRDefault="00ED2488" w:rsidP="00ED2488">
      <w:pPr>
        <w:jc w:val="center"/>
        <w:rPr>
          <w:rFonts w:asciiTheme="minorBidi" w:hAnsiTheme="minorBidi"/>
          <w:b/>
          <w:bCs/>
          <w:color w:val="000000" w:themeColor="text1"/>
          <w:sz w:val="32"/>
          <w:szCs w:val="32"/>
          <w:shd w:val="clear" w:color="auto" w:fill="FFFFFF"/>
        </w:rPr>
      </w:pPr>
      <w:r w:rsidRPr="00656114">
        <w:rPr>
          <w:rFonts w:asciiTheme="minorBidi" w:hAnsiTheme="minorBidi"/>
          <w:b/>
          <w:bCs/>
          <w:color w:val="000000" w:themeColor="text1"/>
          <w:sz w:val="32"/>
          <w:szCs w:val="32"/>
          <w:shd w:val="clear" w:color="auto" w:fill="FFFFFF"/>
        </w:rPr>
        <w:t>Component 3: Quality Assurance and Qualifications</w:t>
      </w:r>
    </w:p>
    <w:p w14:paraId="05329865" w14:textId="77777777" w:rsidR="00ED2488" w:rsidRPr="00656114" w:rsidRDefault="00ED2488" w:rsidP="00FE7367">
      <w:pPr>
        <w:spacing w:after="0" w:line="276" w:lineRule="auto"/>
        <w:jc w:val="center"/>
        <w:rPr>
          <w:rFonts w:asciiTheme="minorBidi" w:hAnsiTheme="minorBidi"/>
          <w:b/>
          <w:bCs/>
          <w:color w:val="000000" w:themeColor="text1"/>
          <w:sz w:val="24"/>
          <w:szCs w:val="24"/>
          <w:shd w:val="clear" w:color="auto" w:fill="FFFFFF"/>
          <w:lang w:val="en-GB"/>
        </w:rPr>
      </w:pPr>
    </w:p>
    <w:p w14:paraId="350BABDB" w14:textId="77777777" w:rsidR="00E65411" w:rsidRPr="00656114" w:rsidRDefault="00E65411" w:rsidP="00FE7367">
      <w:pPr>
        <w:spacing w:after="0" w:line="276" w:lineRule="auto"/>
        <w:jc w:val="center"/>
        <w:rPr>
          <w:rFonts w:asciiTheme="minorBidi" w:hAnsiTheme="minorBidi"/>
          <w:b/>
          <w:bCs/>
          <w:color w:val="000000" w:themeColor="text1"/>
          <w:sz w:val="24"/>
          <w:szCs w:val="24"/>
          <w:shd w:val="clear" w:color="auto" w:fill="FFFFFF"/>
          <w:lang w:val="en-GB"/>
        </w:rPr>
      </w:pPr>
    </w:p>
    <w:p w14:paraId="1BCCC1C9" w14:textId="77777777" w:rsidR="00E65411" w:rsidRPr="00656114" w:rsidRDefault="00E65411" w:rsidP="00FE7367">
      <w:pPr>
        <w:spacing w:after="0" w:line="276" w:lineRule="auto"/>
        <w:jc w:val="center"/>
        <w:rPr>
          <w:rFonts w:asciiTheme="minorBidi" w:hAnsiTheme="minorBidi"/>
          <w:b/>
          <w:bCs/>
          <w:color w:val="000000" w:themeColor="text1"/>
          <w:sz w:val="24"/>
          <w:szCs w:val="24"/>
          <w:shd w:val="clear" w:color="auto" w:fill="FFFFFF"/>
          <w:lang w:val="en-GB"/>
        </w:rPr>
      </w:pPr>
    </w:p>
    <w:p w14:paraId="1932EB9A" w14:textId="58179E81" w:rsidR="00E65411" w:rsidRPr="00656114" w:rsidRDefault="00A2570B" w:rsidP="00FE7367">
      <w:pPr>
        <w:spacing w:after="0" w:line="276" w:lineRule="auto"/>
        <w:jc w:val="center"/>
        <w:rPr>
          <w:rFonts w:asciiTheme="minorBidi" w:hAnsiTheme="minorBidi"/>
          <w:b/>
          <w:bCs/>
          <w:color w:val="000000" w:themeColor="text1"/>
          <w:sz w:val="24"/>
          <w:szCs w:val="24"/>
          <w:shd w:val="clear" w:color="auto" w:fill="FFFFFF"/>
          <w:lang w:val="en-GB"/>
        </w:rPr>
      </w:pPr>
      <w:r w:rsidRPr="00656114">
        <w:rPr>
          <w:rFonts w:asciiTheme="minorBidi" w:hAnsiTheme="minorBidi"/>
          <w:b/>
          <w:bCs/>
          <w:color w:val="000000" w:themeColor="text1"/>
          <w:sz w:val="24"/>
          <w:szCs w:val="24"/>
          <w:shd w:val="clear" w:color="auto" w:fill="FFFFFF"/>
          <w:lang w:val="en-GB"/>
        </w:rPr>
        <w:t>by</w:t>
      </w:r>
    </w:p>
    <w:p w14:paraId="51853388" w14:textId="77777777" w:rsidR="00E65411" w:rsidRPr="00656114" w:rsidRDefault="00E65411" w:rsidP="00FE7367">
      <w:pPr>
        <w:spacing w:after="0" w:line="276" w:lineRule="auto"/>
        <w:jc w:val="center"/>
        <w:rPr>
          <w:rFonts w:asciiTheme="minorBidi" w:hAnsiTheme="minorBidi"/>
          <w:b/>
          <w:bCs/>
          <w:color w:val="000000" w:themeColor="text1"/>
          <w:sz w:val="24"/>
          <w:szCs w:val="24"/>
          <w:shd w:val="clear" w:color="auto" w:fill="FFFFFF"/>
          <w:lang w:val="en-GB"/>
        </w:rPr>
      </w:pPr>
    </w:p>
    <w:p w14:paraId="7E16D845" w14:textId="04E68644" w:rsidR="00E65411" w:rsidRPr="00656114" w:rsidRDefault="00E65411" w:rsidP="00FE7367">
      <w:pPr>
        <w:spacing w:after="0" w:line="276" w:lineRule="auto"/>
        <w:jc w:val="center"/>
        <w:rPr>
          <w:rFonts w:asciiTheme="minorBidi" w:hAnsiTheme="minorBidi"/>
          <w:b/>
          <w:bCs/>
          <w:color w:val="000000" w:themeColor="text1"/>
          <w:sz w:val="24"/>
          <w:szCs w:val="24"/>
          <w:shd w:val="clear" w:color="auto" w:fill="FFFFFF"/>
          <w:lang w:val="en-GB"/>
        </w:rPr>
      </w:pPr>
      <w:r w:rsidRPr="00656114">
        <w:rPr>
          <w:rFonts w:asciiTheme="minorBidi" w:hAnsiTheme="minorBidi"/>
          <w:b/>
          <w:bCs/>
          <w:color w:val="000000" w:themeColor="text1"/>
          <w:sz w:val="24"/>
          <w:szCs w:val="24"/>
          <w:shd w:val="clear" w:color="auto" w:fill="FFFFFF"/>
          <w:lang w:val="en-GB"/>
        </w:rPr>
        <w:t xml:space="preserve">Prof. Bastian Baumann </w:t>
      </w:r>
    </w:p>
    <w:p w14:paraId="4D73D689" w14:textId="1AB98EF6" w:rsidR="00E65411" w:rsidRPr="00656114" w:rsidRDefault="00E65411" w:rsidP="00FE7367">
      <w:pPr>
        <w:spacing w:after="0" w:line="276" w:lineRule="auto"/>
        <w:jc w:val="center"/>
        <w:rPr>
          <w:rFonts w:asciiTheme="minorBidi" w:hAnsiTheme="minorBidi"/>
          <w:color w:val="000000" w:themeColor="text1"/>
          <w:sz w:val="24"/>
          <w:szCs w:val="24"/>
          <w:lang w:val="en-GB"/>
        </w:rPr>
      </w:pPr>
      <w:r w:rsidRPr="00656114">
        <w:rPr>
          <w:rFonts w:asciiTheme="minorBidi" w:hAnsiTheme="minorBidi"/>
          <w:b/>
          <w:bCs/>
          <w:color w:val="000000" w:themeColor="text1"/>
          <w:sz w:val="24"/>
          <w:szCs w:val="24"/>
          <w:lang w:val="en-GB"/>
        </w:rPr>
        <w:t>Senior Non-Key Expert (NKE), (A1.3.2 and A1.3.8)</w:t>
      </w:r>
    </w:p>
    <w:p w14:paraId="6FFA2F31" w14:textId="77777777" w:rsidR="00E65411" w:rsidRPr="00656114" w:rsidRDefault="00E65411" w:rsidP="00FE7367">
      <w:pPr>
        <w:spacing w:after="0" w:line="276" w:lineRule="auto"/>
        <w:jc w:val="center"/>
        <w:rPr>
          <w:rFonts w:asciiTheme="minorBidi" w:hAnsiTheme="minorBidi"/>
          <w:color w:val="000000" w:themeColor="text1"/>
          <w:sz w:val="24"/>
          <w:szCs w:val="24"/>
          <w:lang w:val="en-GB"/>
        </w:rPr>
      </w:pPr>
      <w:r w:rsidRPr="00656114">
        <w:rPr>
          <w:rFonts w:asciiTheme="minorBidi" w:hAnsiTheme="minorBidi"/>
          <w:b/>
          <w:bCs/>
          <w:color w:val="000000" w:themeColor="text1"/>
          <w:sz w:val="24"/>
          <w:szCs w:val="24"/>
          <w:lang w:val="en-GB"/>
        </w:rPr>
        <w:lastRenderedPageBreak/>
        <w:t>EU-TA Skills for Employment and Social Inclusion Programme (SESIP) for Jordan</w:t>
      </w:r>
    </w:p>
    <w:p w14:paraId="6E920FAA" w14:textId="49EF511E" w:rsidR="002E6226" w:rsidRPr="00656114" w:rsidRDefault="002E6226" w:rsidP="00FE7367">
      <w:pPr>
        <w:pStyle w:val="TOCHeading"/>
        <w:spacing w:line="276" w:lineRule="auto"/>
        <w:jc w:val="both"/>
        <w:rPr>
          <w:rFonts w:asciiTheme="minorBidi" w:eastAsiaTheme="minorHAnsi" w:hAnsiTheme="minorBidi" w:cstheme="minorBidi"/>
          <w:b/>
          <w:bCs/>
          <w:color w:val="auto"/>
          <w:sz w:val="24"/>
          <w:szCs w:val="24"/>
          <w:lang w:val="en-GB"/>
        </w:rPr>
      </w:pPr>
      <w:r w:rsidRPr="00656114">
        <w:rPr>
          <w:rFonts w:asciiTheme="minorBidi" w:eastAsiaTheme="minorHAnsi" w:hAnsiTheme="minorBidi" w:cstheme="minorBidi"/>
          <w:b/>
          <w:bCs/>
          <w:color w:val="auto"/>
          <w:sz w:val="24"/>
          <w:szCs w:val="24"/>
          <w:lang w:val="en-GB"/>
        </w:rPr>
        <w:t>Introduction</w:t>
      </w:r>
    </w:p>
    <w:p w14:paraId="746FD26F" w14:textId="77777777" w:rsidR="002E6226" w:rsidRPr="00656114" w:rsidRDefault="002E6226" w:rsidP="00FE7367">
      <w:pPr>
        <w:spacing w:line="276" w:lineRule="auto"/>
        <w:jc w:val="both"/>
        <w:rPr>
          <w:rFonts w:asciiTheme="minorBidi" w:hAnsiTheme="minorBidi"/>
          <w:sz w:val="24"/>
          <w:szCs w:val="24"/>
          <w:lang w:val="en-GB"/>
        </w:rPr>
      </w:pPr>
    </w:p>
    <w:p w14:paraId="103B1BF0" w14:textId="223858A7" w:rsidR="00326522" w:rsidRPr="00656114" w:rsidRDefault="002E6226"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This </w:t>
      </w:r>
      <w:r w:rsidR="00326522" w:rsidRPr="00656114">
        <w:rPr>
          <w:rFonts w:asciiTheme="minorBidi" w:hAnsiTheme="minorBidi"/>
          <w:sz w:val="24"/>
          <w:szCs w:val="24"/>
          <w:lang w:val="en-GB"/>
        </w:rPr>
        <w:t xml:space="preserve">document outlines a first attempt at understanding and agreeing the basic terms required Towards developing a Common Approach for a Credit System underpinning the National Qualifications Framework in Jordan (NQFJ). </w:t>
      </w:r>
    </w:p>
    <w:p w14:paraId="3A5BEC75" w14:textId="1637D8FA" w:rsidR="00326522" w:rsidRPr="00656114" w:rsidRDefault="00326522"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It discusses the concept of a credit system and how it would be linked to the NQFJ and draws on experience in other systems that follow the concept of an integrated qualifications and credit framework. </w:t>
      </w:r>
    </w:p>
    <w:p w14:paraId="16666B9F" w14:textId="53003E00" w:rsidR="00326522" w:rsidRPr="00656114" w:rsidRDefault="00326522" w:rsidP="00FE7367">
      <w:pPr>
        <w:spacing w:line="276" w:lineRule="auto"/>
        <w:jc w:val="both"/>
        <w:rPr>
          <w:rFonts w:asciiTheme="minorBidi" w:hAnsiTheme="minorBidi"/>
          <w:bCs/>
          <w:sz w:val="24"/>
          <w:szCs w:val="24"/>
          <w:lang w:val="en-GB"/>
        </w:rPr>
      </w:pPr>
      <w:r w:rsidRPr="00656114">
        <w:rPr>
          <w:rFonts w:asciiTheme="minorBidi" w:hAnsiTheme="minorBidi"/>
          <w:bCs/>
          <w:sz w:val="24"/>
          <w:szCs w:val="24"/>
          <w:lang w:val="en-GB"/>
        </w:rPr>
        <w:t>This document was developed for supporting the discussion on a learning credit system within the NQFJ in the endeavo</w:t>
      </w:r>
      <w:r w:rsidR="00FE7367" w:rsidRPr="00656114">
        <w:rPr>
          <w:rFonts w:asciiTheme="minorBidi" w:hAnsiTheme="minorBidi"/>
          <w:bCs/>
          <w:sz w:val="24"/>
          <w:szCs w:val="24"/>
          <w:lang w:val="en-GB"/>
        </w:rPr>
        <w:t>u</w:t>
      </w:r>
      <w:r w:rsidRPr="00656114">
        <w:rPr>
          <w:rFonts w:asciiTheme="minorBidi" w:hAnsiTheme="minorBidi"/>
          <w:bCs/>
          <w:sz w:val="24"/>
          <w:szCs w:val="24"/>
          <w:lang w:val="en-GB"/>
        </w:rPr>
        <w:t xml:space="preserve">r to align the education and training sectors on this matter. The main underlying issue of the discussion is the dichotomy between the </w:t>
      </w:r>
      <w:r w:rsidRPr="00656114">
        <w:rPr>
          <w:rFonts w:asciiTheme="minorBidi" w:hAnsiTheme="minorBidi"/>
          <w:bCs/>
          <w:i/>
          <w:iCs/>
          <w:sz w:val="24"/>
          <w:szCs w:val="24"/>
          <w:lang w:val="en-GB"/>
        </w:rPr>
        <w:t>student centric</w:t>
      </w:r>
      <w:r w:rsidRPr="00656114">
        <w:rPr>
          <w:rFonts w:asciiTheme="minorBidi" w:hAnsiTheme="minorBidi"/>
          <w:bCs/>
          <w:sz w:val="24"/>
          <w:szCs w:val="24"/>
          <w:lang w:val="en-GB"/>
        </w:rPr>
        <w:t xml:space="preserve"> (outcome based) and </w:t>
      </w:r>
      <w:r w:rsidRPr="00656114">
        <w:rPr>
          <w:rFonts w:asciiTheme="minorBidi" w:hAnsiTheme="minorBidi"/>
          <w:bCs/>
          <w:i/>
          <w:iCs/>
          <w:sz w:val="24"/>
          <w:szCs w:val="24"/>
          <w:lang w:val="en-GB"/>
        </w:rPr>
        <w:t>contact hours</w:t>
      </w:r>
      <w:r w:rsidRPr="00656114">
        <w:rPr>
          <w:rFonts w:asciiTheme="minorBidi" w:hAnsiTheme="minorBidi"/>
          <w:bCs/>
          <w:sz w:val="24"/>
          <w:szCs w:val="24"/>
          <w:lang w:val="en-GB"/>
        </w:rPr>
        <w:t xml:space="preserve"> </w:t>
      </w:r>
      <w:r w:rsidRPr="00656114">
        <w:rPr>
          <w:rFonts w:asciiTheme="minorBidi" w:hAnsiTheme="minorBidi"/>
          <w:bCs/>
          <w:i/>
          <w:iCs/>
          <w:sz w:val="24"/>
          <w:szCs w:val="24"/>
          <w:lang w:val="en-GB"/>
        </w:rPr>
        <w:t>based</w:t>
      </w:r>
      <w:r w:rsidRPr="00656114">
        <w:rPr>
          <w:rFonts w:asciiTheme="minorBidi" w:hAnsiTheme="minorBidi"/>
          <w:bCs/>
          <w:sz w:val="24"/>
          <w:szCs w:val="24"/>
          <w:lang w:val="en-GB"/>
        </w:rPr>
        <w:t xml:space="preserve"> (teaching and training input) concepts.</w:t>
      </w:r>
    </w:p>
    <w:p w14:paraId="43A1867D" w14:textId="77777777" w:rsidR="00326522" w:rsidRPr="00656114" w:rsidRDefault="00326522" w:rsidP="00FE7367">
      <w:pPr>
        <w:spacing w:line="276" w:lineRule="auto"/>
        <w:jc w:val="both"/>
        <w:rPr>
          <w:rFonts w:asciiTheme="minorBidi" w:hAnsiTheme="minorBidi"/>
          <w:sz w:val="24"/>
          <w:szCs w:val="24"/>
          <w:lang w:val="en-GB"/>
        </w:rPr>
      </w:pPr>
    </w:p>
    <w:p w14:paraId="116D3F9C" w14:textId="2DDCEEFF" w:rsidR="00C33215" w:rsidRPr="00656114" w:rsidRDefault="00C33215" w:rsidP="00FE7367">
      <w:pPr>
        <w:pStyle w:val="NormalWeb"/>
        <w:spacing w:line="276" w:lineRule="auto"/>
        <w:jc w:val="both"/>
        <w:rPr>
          <w:rFonts w:asciiTheme="minorBidi" w:hAnsiTheme="minorBidi" w:cstheme="minorBidi"/>
          <w:lang w:val="en-GB"/>
        </w:rPr>
      </w:pPr>
      <w:r w:rsidRPr="00656114">
        <w:rPr>
          <w:rFonts w:asciiTheme="minorBidi" w:hAnsiTheme="minorBidi" w:cstheme="minorBidi"/>
          <w:b/>
          <w:bCs/>
          <w:color w:val="211E1E"/>
          <w:lang w:val="en-GB"/>
        </w:rPr>
        <w:t xml:space="preserve">Purpose and Benefits of Credits </w:t>
      </w:r>
    </w:p>
    <w:p w14:paraId="272E0BD4" w14:textId="73AC0B02" w:rsidR="00C33215" w:rsidRPr="00656114" w:rsidRDefault="00C33215" w:rsidP="00FE7367">
      <w:pPr>
        <w:pStyle w:val="NormalWeb"/>
        <w:spacing w:line="276" w:lineRule="auto"/>
        <w:jc w:val="both"/>
        <w:rPr>
          <w:rFonts w:asciiTheme="minorBidi" w:hAnsiTheme="minorBidi" w:cstheme="minorBidi"/>
          <w:color w:val="211E1E"/>
          <w:lang w:val="en-GB"/>
        </w:rPr>
      </w:pPr>
      <w:r w:rsidRPr="00656114">
        <w:rPr>
          <w:rFonts w:asciiTheme="minorBidi" w:hAnsiTheme="minorBidi" w:cstheme="minorBidi"/>
          <w:color w:val="211E1E"/>
          <w:lang w:val="en-GB"/>
        </w:rPr>
        <w:t xml:space="preserve">Credits have an increasingly important role in defining and recording learner achievement. Credits also can be used for providing support for learners and their progression both into and within the given education systems. It is a key tool to facilitate lifelong learning, recognition and mobility, including RPL. </w:t>
      </w:r>
    </w:p>
    <w:p w14:paraId="2A2F415E" w14:textId="6FC038AC" w:rsidR="0022543A" w:rsidRPr="00656114" w:rsidRDefault="0022543A" w:rsidP="00FE7367">
      <w:pPr>
        <w:pStyle w:val="NormalWeb"/>
        <w:spacing w:line="276" w:lineRule="auto"/>
        <w:jc w:val="both"/>
        <w:rPr>
          <w:rFonts w:asciiTheme="minorBidi" w:hAnsiTheme="minorBidi" w:cstheme="minorBidi"/>
          <w:lang w:val="en-GB"/>
        </w:rPr>
      </w:pPr>
      <w:r w:rsidRPr="00656114">
        <w:rPr>
          <w:rFonts w:asciiTheme="minorBidi" w:hAnsiTheme="minorBidi" w:cstheme="minorBidi"/>
          <w:lang w:val="en-GB"/>
        </w:rPr>
        <w:t xml:space="preserve">A credit represents the volume of a qualification, as outlined below, either in teaching time or in learning time. It can be associated with entire qualifications or parts thereof, such as units or courses / programmes. </w:t>
      </w:r>
    </w:p>
    <w:p w14:paraId="3351954F" w14:textId="77777777" w:rsidR="00C33215" w:rsidRPr="00656114" w:rsidRDefault="00C33215" w:rsidP="00FE7367">
      <w:pPr>
        <w:pStyle w:val="Heading2"/>
        <w:spacing w:line="276" w:lineRule="auto"/>
        <w:jc w:val="both"/>
        <w:rPr>
          <w:rFonts w:asciiTheme="minorBidi" w:hAnsiTheme="minorBidi" w:cstheme="minorBidi"/>
          <w:color w:val="000000" w:themeColor="text1"/>
          <w:sz w:val="24"/>
          <w:szCs w:val="24"/>
          <w:lang w:val="en-GB"/>
        </w:rPr>
      </w:pPr>
      <w:bookmarkStart w:id="1" w:name="_Toc477942898"/>
    </w:p>
    <w:p w14:paraId="03882DD1" w14:textId="5280D3FE" w:rsidR="008C0774" w:rsidRPr="00656114" w:rsidRDefault="008C0774" w:rsidP="00FE7367">
      <w:pPr>
        <w:pStyle w:val="Heading2"/>
        <w:spacing w:line="276" w:lineRule="auto"/>
        <w:jc w:val="both"/>
        <w:rPr>
          <w:rFonts w:asciiTheme="minorBidi" w:hAnsiTheme="minorBidi" w:cstheme="minorBidi"/>
          <w:b/>
          <w:bCs/>
          <w:color w:val="000000" w:themeColor="text1"/>
          <w:sz w:val="24"/>
          <w:szCs w:val="24"/>
          <w:lang w:val="en-GB"/>
        </w:rPr>
      </w:pPr>
      <w:r w:rsidRPr="00656114">
        <w:rPr>
          <w:rFonts w:asciiTheme="minorBidi" w:hAnsiTheme="minorBidi" w:cstheme="minorBidi"/>
          <w:b/>
          <w:bCs/>
          <w:color w:val="000000" w:themeColor="text1"/>
          <w:sz w:val="24"/>
          <w:szCs w:val="24"/>
          <w:lang w:val="en-GB"/>
        </w:rPr>
        <w:t>Conceptual Approaches and Types of Credit Systems</w:t>
      </w:r>
      <w:bookmarkEnd w:id="1"/>
    </w:p>
    <w:p w14:paraId="1A524FDE" w14:textId="77777777" w:rsidR="008C0774" w:rsidRPr="00656114" w:rsidRDefault="008C0774" w:rsidP="00FE7367">
      <w:pPr>
        <w:pStyle w:val="Heading3"/>
        <w:spacing w:line="276" w:lineRule="auto"/>
        <w:jc w:val="both"/>
        <w:rPr>
          <w:rFonts w:asciiTheme="minorBidi" w:hAnsiTheme="minorBidi" w:cstheme="minorBidi"/>
          <w:b/>
          <w:bCs/>
          <w:color w:val="000000" w:themeColor="text1"/>
          <w:lang w:val="en-GB"/>
        </w:rPr>
      </w:pPr>
      <w:bookmarkStart w:id="2" w:name="_Toc477942899"/>
      <w:r w:rsidRPr="00656114">
        <w:rPr>
          <w:rFonts w:asciiTheme="minorBidi" w:hAnsiTheme="minorBidi" w:cstheme="minorBidi"/>
          <w:b/>
          <w:bCs/>
          <w:color w:val="000000" w:themeColor="text1"/>
          <w:lang w:val="en-GB"/>
        </w:rPr>
        <w:t>Input based credit system</w:t>
      </w:r>
      <w:bookmarkEnd w:id="2"/>
    </w:p>
    <w:p w14:paraId="15CF73D3" w14:textId="77777777" w:rsidR="00430F27" w:rsidRPr="00656114" w:rsidRDefault="00430F27" w:rsidP="00FE7367">
      <w:pPr>
        <w:spacing w:line="276" w:lineRule="auto"/>
        <w:jc w:val="both"/>
        <w:rPr>
          <w:rFonts w:asciiTheme="minorBidi" w:hAnsiTheme="minorBidi"/>
          <w:sz w:val="24"/>
          <w:szCs w:val="24"/>
          <w:lang w:val="en-GB"/>
        </w:rPr>
      </w:pPr>
    </w:p>
    <w:p w14:paraId="62CEC02D" w14:textId="2CEFA52A" w:rsidR="008C0774" w:rsidRPr="00656114" w:rsidRDefault="00430F27"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An i</w:t>
      </w:r>
      <w:r w:rsidR="008C0774" w:rsidRPr="00656114">
        <w:rPr>
          <w:rFonts w:asciiTheme="minorBidi" w:hAnsiTheme="minorBidi"/>
          <w:sz w:val="24"/>
          <w:szCs w:val="24"/>
          <w:lang w:val="en-GB"/>
        </w:rPr>
        <w:t>nput</w:t>
      </w:r>
      <w:r w:rsidR="00FE7367" w:rsidRPr="00656114">
        <w:rPr>
          <w:rFonts w:asciiTheme="minorBidi" w:hAnsiTheme="minorBidi"/>
          <w:sz w:val="24"/>
          <w:szCs w:val="24"/>
          <w:lang w:val="en-GB"/>
        </w:rPr>
        <w:t>-</w:t>
      </w:r>
      <w:r w:rsidR="008C0774" w:rsidRPr="00656114">
        <w:rPr>
          <w:rFonts w:asciiTheme="minorBidi" w:hAnsiTheme="minorBidi"/>
          <w:sz w:val="24"/>
          <w:szCs w:val="24"/>
          <w:lang w:val="en-GB"/>
        </w:rPr>
        <w:t xml:space="preserve">based credit system is normally referring to the quantification of the </w:t>
      </w:r>
      <w:r w:rsidR="008C0774" w:rsidRPr="00656114">
        <w:rPr>
          <w:rFonts w:asciiTheme="minorBidi" w:hAnsiTheme="minorBidi"/>
          <w:b/>
          <w:bCs/>
          <w:sz w:val="24"/>
          <w:szCs w:val="24"/>
          <w:lang w:val="en-GB"/>
        </w:rPr>
        <w:t>contact hours</w:t>
      </w:r>
      <w:r w:rsidR="008C0774" w:rsidRPr="00656114">
        <w:rPr>
          <w:rFonts w:asciiTheme="minorBidi" w:hAnsiTheme="minorBidi"/>
          <w:sz w:val="24"/>
          <w:szCs w:val="24"/>
          <w:lang w:val="en-GB"/>
        </w:rPr>
        <w:t xml:space="preserve"> in various types learning activities prescribed in a course or learning unit. These activities can be a direct teaching input such as lectures, seminars, tutorials, tutored </w:t>
      </w:r>
      <w:r w:rsidR="008C0774" w:rsidRPr="00656114">
        <w:rPr>
          <w:rFonts w:asciiTheme="minorBidi" w:hAnsiTheme="minorBidi"/>
          <w:sz w:val="24"/>
          <w:szCs w:val="24"/>
          <w:lang w:val="en-GB"/>
        </w:rPr>
        <w:lastRenderedPageBreak/>
        <w:t xml:space="preserve">laboratories etc. </w:t>
      </w:r>
      <w:r w:rsidRPr="00656114">
        <w:rPr>
          <w:rFonts w:asciiTheme="minorBidi" w:hAnsiTheme="minorBidi"/>
          <w:sz w:val="24"/>
          <w:szCs w:val="24"/>
          <w:lang w:val="en-GB"/>
        </w:rPr>
        <w:t xml:space="preserve">This is for example the traditional system used in higher education in the United States, whi9ch also prevails in many universities in the Arab region. It is often based on formula concept </w:t>
      </w:r>
      <w:r w:rsidR="008C0774" w:rsidRPr="00656114">
        <w:rPr>
          <w:rFonts w:asciiTheme="minorBidi" w:hAnsiTheme="minorBidi"/>
          <w:sz w:val="24"/>
          <w:szCs w:val="24"/>
          <w:lang w:val="en-GB"/>
        </w:rPr>
        <w:t xml:space="preserve">in which one 50-minute lecture, or two or three 50-minute laboratory or tutorial sessions over a 15-week teaching semester are regarded as one credit hour. </w:t>
      </w:r>
    </w:p>
    <w:p w14:paraId="30AF77F5" w14:textId="77777777" w:rsidR="008C0774" w:rsidRPr="00656114" w:rsidRDefault="008C0774" w:rsidP="00FE7367">
      <w:pPr>
        <w:spacing w:line="276" w:lineRule="auto"/>
        <w:jc w:val="both"/>
        <w:rPr>
          <w:rFonts w:asciiTheme="minorBidi" w:hAnsiTheme="minorBidi"/>
          <w:sz w:val="24"/>
          <w:szCs w:val="24"/>
          <w:lang w:val="en-GB"/>
        </w:rPr>
      </w:pPr>
    </w:p>
    <w:p w14:paraId="5699C446" w14:textId="1B64B9CE"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In some other cases the system takes into account a fixed number of hours of student individual work to each contact hour (e.g. preparation for exams, preparation for labs, homework, literature search, etc.). This addition is a mere linear increment of learning time (e.g. for every contact hour, the system adds 3 hours of learners' learning hours). This does not make the system student centred. Namely, the addition is based on </w:t>
      </w:r>
      <w:r w:rsidR="00430F27" w:rsidRPr="00656114">
        <w:rPr>
          <w:rFonts w:asciiTheme="minorBidi" w:hAnsiTheme="minorBidi"/>
          <w:sz w:val="24"/>
          <w:szCs w:val="24"/>
          <w:lang w:val="en-GB"/>
        </w:rPr>
        <w:t xml:space="preserve">the </w:t>
      </w:r>
      <w:r w:rsidRPr="00656114">
        <w:rPr>
          <w:rFonts w:asciiTheme="minorBidi" w:hAnsiTheme="minorBidi"/>
          <w:sz w:val="24"/>
          <w:szCs w:val="24"/>
          <w:lang w:val="en-GB"/>
        </w:rPr>
        <w:t xml:space="preserve">assumption that every activity takes the same amount </w:t>
      </w:r>
      <w:r w:rsidR="00430F27" w:rsidRPr="00656114">
        <w:rPr>
          <w:rFonts w:asciiTheme="minorBidi" w:hAnsiTheme="minorBidi"/>
          <w:sz w:val="24"/>
          <w:szCs w:val="24"/>
          <w:lang w:val="en-GB"/>
        </w:rPr>
        <w:t xml:space="preserve">of </w:t>
      </w:r>
      <w:r w:rsidRPr="00656114">
        <w:rPr>
          <w:rFonts w:asciiTheme="minorBidi" w:hAnsiTheme="minorBidi"/>
          <w:sz w:val="24"/>
          <w:szCs w:val="24"/>
          <w:lang w:val="en-GB"/>
        </w:rPr>
        <w:t xml:space="preserve">work, regardless </w:t>
      </w:r>
      <w:r w:rsidR="00430F27" w:rsidRPr="00656114">
        <w:rPr>
          <w:rFonts w:asciiTheme="minorBidi" w:hAnsiTheme="minorBidi"/>
          <w:sz w:val="24"/>
          <w:szCs w:val="24"/>
          <w:lang w:val="en-GB"/>
        </w:rPr>
        <w:t xml:space="preserve">of </w:t>
      </w:r>
      <w:r w:rsidRPr="00656114">
        <w:rPr>
          <w:rFonts w:asciiTheme="minorBidi" w:hAnsiTheme="minorBidi"/>
          <w:sz w:val="24"/>
          <w:szCs w:val="24"/>
          <w:lang w:val="en-GB"/>
        </w:rPr>
        <w:t>the course, discipline, type of learning activity, etc. Thus, it can be still considered an input</w:t>
      </w:r>
      <w:r w:rsidR="00430F27" w:rsidRPr="00656114">
        <w:rPr>
          <w:rFonts w:asciiTheme="minorBidi" w:hAnsiTheme="minorBidi"/>
          <w:sz w:val="24"/>
          <w:szCs w:val="24"/>
          <w:lang w:val="en-GB"/>
        </w:rPr>
        <w:t>-</w:t>
      </w:r>
      <w:r w:rsidRPr="00656114">
        <w:rPr>
          <w:rFonts w:asciiTheme="minorBidi" w:hAnsiTheme="minorBidi"/>
          <w:sz w:val="24"/>
          <w:szCs w:val="24"/>
          <w:lang w:val="en-GB"/>
        </w:rPr>
        <w:t>based system.</w:t>
      </w:r>
    </w:p>
    <w:p w14:paraId="640B9C33" w14:textId="77777777" w:rsidR="008C0774" w:rsidRPr="00656114" w:rsidRDefault="008C0774" w:rsidP="00FE7367">
      <w:pPr>
        <w:spacing w:line="276" w:lineRule="auto"/>
        <w:jc w:val="both"/>
        <w:rPr>
          <w:rFonts w:asciiTheme="minorBidi" w:hAnsiTheme="minorBidi"/>
          <w:sz w:val="24"/>
          <w:szCs w:val="24"/>
          <w:lang w:val="en-GB"/>
        </w:rPr>
      </w:pPr>
    </w:p>
    <w:p w14:paraId="2C744A83" w14:textId="2AA0635E"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In practice the credit attribution for input</w:t>
      </w:r>
      <w:r w:rsidR="00430F27" w:rsidRPr="00656114">
        <w:rPr>
          <w:rFonts w:asciiTheme="minorBidi" w:hAnsiTheme="minorBidi"/>
          <w:sz w:val="24"/>
          <w:szCs w:val="24"/>
          <w:lang w:val="en-GB"/>
        </w:rPr>
        <w:t>-</w:t>
      </w:r>
      <w:r w:rsidRPr="00656114">
        <w:rPr>
          <w:rFonts w:asciiTheme="minorBidi" w:hAnsiTheme="minorBidi"/>
          <w:sz w:val="24"/>
          <w:szCs w:val="24"/>
          <w:lang w:val="en-GB"/>
        </w:rPr>
        <w:t>based approach is relatively trivial. An agreed formula is used to convert the input hours (contact hours) declared in the course or unit description into credits. E.g. 15 learning hours equals 1 credit hour.</w:t>
      </w:r>
    </w:p>
    <w:p w14:paraId="045B5258" w14:textId="77777777" w:rsidR="008C0774" w:rsidRPr="00656114" w:rsidRDefault="008C0774" w:rsidP="00FE7367">
      <w:pPr>
        <w:spacing w:line="276" w:lineRule="auto"/>
        <w:jc w:val="both"/>
        <w:rPr>
          <w:rFonts w:asciiTheme="minorBidi" w:hAnsiTheme="minorBidi"/>
          <w:sz w:val="24"/>
          <w:szCs w:val="24"/>
          <w:lang w:val="en-GB"/>
        </w:rPr>
      </w:pPr>
    </w:p>
    <w:p w14:paraId="3E72A9C6" w14:textId="401314A3" w:rsidR="008C0774" w:rsidRPr="00656114" w:rsidRDefault="00430F27" w:rsidP="00FE7367">
      <w:pPr>
        <w:pStyle w:val="Heading3"/>
        <w:spacing w:line="276" w:lineRule="auto"/>
        <w:jc w:val="both"/>
        <w:rPr>
          <w:rFonts w:asciiTheme="minorBidi" w:hAnsiTheme="minorBidi" w:cstheme="minorBidi"/>
          <w:b/>
          <w:bCs/>
          <w:color w:val="000000" w:themeColor="text1"/>
          <w:lang w:val="en-GB"/>
        </w:rPr>
      </w:pPr>
      <w:bookmarkStart w:id="3" w:name="_Toc477942900"/>
      <w:r w:rsidRPr="00656114">
        <w:rPr>
          <w:rFonts w:asciiTheme="minorBidi" w:hAnsiTheme="minorBidi" w:cstheme="minorBidi"/>
          <w:b/>
          <w:bCs/>
          <w:color w:val="000000" w:themeColor="text1"/>
          <w:lang w:val="en-GB"/>
        </w:rPr>
        <w:t>Learner</w:t>
      </w:r>
      <w:r w:rsidR="008C0774" w:rsidRPr="00656114">
        <w:rPr>
          <w:rFonts w:asciiTheme="minorBidi" w:hAnsiTheme="minorBidi" w:cstheme="minorBidi"/>
          <w:b/>
          <w:bCs/>
          <w:color w:val="000000" w:themeColor="text1"/>
          <w:lang w:val="en-GB"/>
        </w:rPr>
        <w:t>-Centric Credit System</w:t>
      </w:r>
      <w:bookmarkEnd w:id="3"/>
    </w:p>
    <w:p w14:paraId="4FE7E66C" w14:textId="191178CA"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Instead of teaching staff input, the learner-centric system focuses on the burden of a typical learner for achieving the envisaged learning outcomes. This system was developed with a view of harmoni</w:t>
      </w:r>
      <w:r w:rsidR="004C5BF3" w:rsidRPr="00656114">
        <w:rPr>
          <w:rFonts w:asciiTheme="minorBidi" w:hAnsiTheme="minorBidi"/>
          <w:sz w:val="24"/>
          <w:szCs w:val="24"/>
          <w:lang w:val="en-GB"/>
        </w:rPr>
        <w:t>s</w:t>
      </w:r>
      <w:r w:rsidRPr="00656114">
        <w:rPr>
          <w:rFonts w:asciiTheme="minorBidi" w:hAnsiTheme="minorBidi"/>
          <w:sz w:val="24"/>
          <w:szCs w:val="24"/>
          <w:lang w:val="en-GB"/>
        </w:rPr>
        <w:t xml:space="preserve">ing the quantifications based on </w:t>
      </w:r>
      <w:r w:rsidR="00430F27" w:rsidRPr="00656114">
        <w:rPr>
          <w:rFonts w:asciiTheme="minorBidi" w:hAnsiTheme="minorBidi"/>
          <w:sz w:val="24"/>
          <w:szCs w:val="24"/>
          <w:lang w:val="en-GB"/>
        </w:rPr>
        <w:t>learners’</w:t>
      </w:r>
      <w:r w:rsidRPr="00656114">
        <w:rPr>
          <w:rFonts w:asciiTheme="minorBidi" w:hAnsiTheme="minorBidi"/>
          <w:sz w:val="24"/>
          <w:szCs w:val="24"/>
          <w:lang w:val="en-GB"/>
        </w:rPr>
        <w:t xml:space="preserve"> workload – a category that is expected to vary less from country to country. Thus, this concept relies on the assumption that learners' time (workload) is universal, regardless the differences in education systems, program</w:t>
      </w:r>
      <w:r w:rsidR="00430F27" w:rsidRPr="00656114">
        <w:rPr>
          <w:rFonts w:asciiTheme="minorBidi" w:hAnsiTheme="minorBidi"/>
          <w:sz w:val="24"/>
          <w:szCs w:val="24"/>
          <w:lang w:val="en-GB"/>
        </w:rPr>
        <w:t>me</w:t>
      </w:r>
      <w:r w:rsidRPr="00656114">
        <w:rPr>
          <w:rFonts w:asciiTheme="minorBidi" w:hAnsiTheme="minorBidi"/>
          <w:sz w:val="24"/>
          <w:szCs w:val="24"/>
          <w:lang w:val="en-GB"/>
        </w:rPr>
        <w:t>s, university traditions, qualifications etc. Measuring how many hours it takes to achieve any learning outcome or set of learning outcomes should be easier to compare.</w:t>
      </w:r>
    </w:p>
    <w:p w14:paraId="0E7FA0BE" w14:textId="77777777" w:rsidR="008C0774" w:rsidRPr="00656114" w:rsidRDefault="008C0774" w:rsidP="00FE7367">
      <w:pPr>
        <w:spacing w:line="276" w:lineRule="auto"/>
        <w:jc w:val="both"/>
        <w:rPr>
          <w:rFonts w:asciiTheme="minorBidi" w:hAnsiTheme="minorBidi"/>
          <w:sz w:val="24"/>
          <w:szCs w:val="24"/>
          <w:lang w:val="en-GB"/>
        </w:rPr>
      </w:pPr>
    </w:p>
    <w:p w14:paraId="514654E4" w14:textId="51C7FDE8" w:rsidR="008C0774" w:rsidRPr="00656114" w:rsidRDefault="00430F27"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A learner</w:t>
      </w:r>
      <w:r w:rsidR="008C0774" w:rsidRPr="00656114">
        <w:rPr>
          <w:rFonts w:asciiTheme="minorBidi" w:hAnsiTheme="minorBidi"/>
          <w:sz w:val="24"/>
          <w:szCs w:val="24"/>
          <w:lang w:val="en-GB"/>
        </w:rPr>
        <w:t xml:space="preserve">-centric credit system is in line with a larger conceptual approach to education. It is based on the argument that learning and teaching should take into consideration the specifics of </w:t>
      </w:r>
      <w:r w:rsidRPr="00656114">
        <w:rPr>
          <w:rFonts w:asciiTheme="minorBidi" w:hAnsiTheme="minorBidi"/>
          <w:sz w:val="24"/>
          <w:szCs w:val="24"/>
          <w:lang w:val="en-GB"/>
        </w:rPr>
        <w:t>learners</w:t>
      </w:r>
      <w:r w:rsidR="008C0774" w:rsidRPr="00656114">
        <w:rPr>
          <w:rFonts w:asciiTheme="minorBidi" w:hAnsiTheme="minorBidi"/>
          <w:sz w:val="24"/>
          <w:szCs w:val="24"/>
          <w:lang w:val="en-GB"/>
        </w:rPr>
        <w:t xml:space="preserve"> and allow the development of specific talents of individuals. The learner-centric approach is also mentioned in </w:t>
      </w:r>
      <w:r w:rsidRPr="00656114">
        <w:rPr>
          <w:rFonts w:asciiTheme="minorBidi" w:hAnsiTheme="minorBidi"/>
          <w:sz w:val="24"/>
          <w:szCs w:val="24"/>
          <w:lang w:val="en-GB"/>
        </w:rPr>
        <w:t xml:space="preserve">many modern education strategies as part of a wider learner-centred approach to education. </w:t>
      </w:r>
    </w:p>
    <w:p w14:paraId="12338DB1" w14:textId="77777777" w:rsidR="008C0774" w:rsidRPr="00656114" w:rsidRDefault="008C0774" w:rsidP="00FE7367">
      <w:pPr>
        <w:spacing w:line="276" w:lineRule="auto"/>
        <w:jc w:val="both"/>
        <w:rPr>
          <w:rFonts w:asciiTheme="minorBidi" w:hAnsiTheme="minorBidi"/>
          <w:sz w:val="24"/>
          <w:szCs w:val="24"/>
          <w:lang w:val="en-GB"/>
        </w:rPr>
      </w:pPr>
    </w:p>
    <w:p w14:paraId="5ECF7120" w14:textId="439177D1"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In practice, the credit attribution for the </w:t>
      </w:r>
      <w:r w:rsidR="00430F27" w:rsidRPr="00656114">
        <w:rPr>
          <w:rFonts w:asciiTheme="minorBidi" w:hAnsiTheme="minorBidi"/>
          <w:sz w:val="24"/>
          <w:szCs w:val="24"/>
          <w:lang w:val="en-GB"/>
        </w:rPr>
        <w:t>learner</w:t>
      </w:r>
      <w:r w:rsidRPr="00656114">
        <w:rPr>
          <w:rFonts w:asciiTheme="minorBidi" w:hAnsiTheme="minorBidi"/>
          <w:sz w:val="24"/>
          <w:szCs w:val="24"/>
          <w:lang w:val="en-GB"/>
        </w:rPr>
        <w:t xml:space="preserve">-centric systems requires a structured procedure of initially assessing and continuously reviewing the time needed for a typical </w:t>
      </w:r>
      <w:r w:rsidR="00430F27" w:rsidRPr="00656114">
        <w:rPr>
          <w:rFonts w:asciiTheme="minorBidi" w:hAnsiTheme="minorBidi"/>
          <w:sz w:val="24"/>
          <w:szCs w:val="24"/>
          <w:lang w:val="en-GB"/>
        </w:rPr>
        <w:t>learner</w:t>
      </w:r>
      <w:r w:rsidRPr="00656114">
        <w:rPr>
          <w:rFonts w:asciiTheme="minorBidi" w:hAnsiTheme="minorBidi"/>
          <w:sz w:val="24"/>
          <w:szCs w:val="24"/>
          <w:lang w:val="en-GB"/>
        </w:rPr>
        <w:t xml:space="preserve"> to complete the required obligations of a course or unit and thereby prove the achievement of envisaged learning outcomes. In the case of a new qualification, a group of subject and pedagogical experts (normally including those that designed the course or unit) would reach </w:t>
      </w:r>
      <w:r w:rsidR="00430F27" w:rsidRPr="00656114">
        <w:rPr>
          <w:rFonts w:asciiTheme="minorBidi" w:hAnsiTheme="minorBidi"/>
          <w:sz w:val="24"/>
          <w:szCs w:val="24"/>
          <w:lang w:val="en-GB"/>
        </w:rPr>
        <w:t>a</w:t>
      </w:r>
      <w:r w:rsidRPr="00656114">
        <w:rPr>
          <w:rFonts w:asciiTheme="minorBidi" w:hAnsiTheme="minorBidi"/>
          <w:sz w:val="24"/>
          <w:szCs w:val="24"/>
          <w:lang w:val="en-GB"/>
        </w:rPr>
        <w:t xml:space="preserve"> consensus about the time that a typical learner</w:t>
      </w:r>
      <w:r w:rsidRPr="00656114">
        <w:rPr>
          <w:rStyle w:val="FootnoteReference"/>
          <w:rFonts w:asciiTheme="minorBidi" w:hAnsiTheme="minorBidi"/>
          <w:sz w:val="24"/>
          <w:szCs w:val="24"/>
          <w:lang w:val="en-GB"/>
        </w:rPr>
        <w:footnoteReference w:id="1"/>
      </w:r>
      <w:r w:rsidRPr="00656114">
        <w:rPr>
          <w:rFonts w:asciiTheme="minorBidi" w:hAnsiTheme="minorBidi"/>
          <w:sz w:val="24"/>
          <w:szCs w:val="24"/>
          <w:lang w:val="en-GB"/>
        </w:rPr>
        <w:t xml:space="preserve"> would need for successful completion of the requirements of that course or unit. This process should be done separately for each course or other unit (component) of </w:t>
      </w:r>
      <w:r w:rsidR="00430F27" w:rsidRPr="00656114">
        <w:rPr>
          <w:rFonts w:asciiTheme="minorBidi" w:hAnsiTheme="minorBidi"/>
          <w:sz w:val="24"/>
          <w:szCs w:val="24"/>
          <w:lang w:val="en-GB"/>
        </w:rPr>
        <w:t xml:space="preserve">a </w:t>
      </w:r>
      <w:r w:rsidRPr="00656114">
        <w:rPr>
          <w:rFonts w:asciiTheme="minorBidi" w:hAnsiTheme="minorBidi"/>
          <w:sz w:val="24"/>
          <w:szCs w:val="24"/>
          <w:lang w:val="en-GB"/>
        </w:rPr>
        <w:t xml:space="preserve">qualification. When a qualification is already operational and </w:t>
      </w:r>
      <w:r w:rsidR="00430F27" w:rsidRPr="00656114">
        <w:rPr>
          <w:rFonts w:asciiTheme="minorBidi" w:hAnsiTheme="minorBidi"/>
          <w:sz w:val="24"/>
          <w:szCs w:val="24"/>
          <w:lang w:val="en-GB"/>
        </w:rPr>
        <w:t>learners</w:t>
      </w:r>
      <w:r w:rsidRPr="00656114">
        <w:rPr>
          <w:rFonts w:asciiTheme="minorBidi" w:hAnsiTheme="minorBidi"/>
          <w:sz w:val="24"/>
          <w:szCs w:val="24"/>
          <w:lang w:val="en-GB"/>
        </w:rPr>
        <w:t xml:space="preserve"> have been enrolled, the quality assurance process should include the continuous review of the attributed learning credits to correct </w:t>
      </w:r>
      <w:r w:rsidR="00430F27" w:rsidRPr="00656114">
        <w:rPr>
          <w:rFonts w:asciiTheme="minorBidi" w:hAnsiTheme="minorBidi"/>
          <w:sz w:val="24"/>
          <w:szCs w:val="24"/>
          <w:lang w:val="en-GB"/>
        </w:rPr>
        <w:t>potential</w:t>
      </w:r>
      <w:r w:rsidRPr="00656114">
        <w:rPr>
          <w:rFonts w:asciiTheme="minorBidi" w:hAnsiTheme="minorBidi"/>
          <w:sz w:val="24"/>
          <w:szCs w:val="24"/>
          <w:lang w:val="en-GB"/>
        </w:rPr>
        <w:t xml:space="preserve"> initial mis-judgements. In some systems, the learners themselves are involved in the review of the accuracy of measured learners' workload.</w:t>
      </w:r>
    </w:p>
    <w:p w14:paraId="5733D0CF" w14:textId="77777777" w:rsidR="008C0774" w:rsidRPr="00656114" w:rsidRDefault="008C0774" w:rsidP="00FE7367">
      <w:pPr>
        <w:spacing w:line="276" w:lineRule="auto"/>
        <w:jc w:val="both"/>
        <w:rPr>
          <w:rFonts w:asciiTheme="minorBidi" w:hAnsiTheme="minorBidi"/>
          <w:bCs/>
          <w:sz w:val="24"/>
          <w:szCs w:val="24"/>
          <w:lang w:val="en-GB"/>
        </w:rPr>
      </w:pPr>
    </w:p>
    <w:p w14:paraId="79DE7C86" w14:textId="77777777" w:rsidR="008C0774" w:rsidRPr="00656114" w:rsidRDefault="008C0774" w:rsidP="00FE7367">
      <w:pPr>
        <w:pStyle w:val="Heading2"/>
        <w:spacing w:line="276" w:lineRule="auto"/>
        <w:jc w:val="both"/>
        <w:rPr>
          <w:rFonts w:asciiTheme="minorBidi" w:hAnsiTheme="minorBidi" w:cstheme="minorBidi"/>
          <w:b/>
          <w:bCs/>
          <w:color w:val="000000" w:themeColor="text1"/>
          <w:sz w:val="24"/>
          <w:szCs w:val="24"/>
          <w:lang w:val="en-GB"/>
        </w:rPr>
      </w:pPr>
      <w:bookmarkStart w:id="4" w:name="_Toc477942901"/>
      <w:r w:rsidRPr="00656114">
        <w:rPr>
          <w:rFonts w:asciiTheme="minorBidi" w:hAnsiTheme="minorBidi" w:cstheme="minorBidi"/>
          <w:b/>
          <w:bCs/>
          <w:color w:val="000000" w:themeColor="text1"/>
          <w:sz w:val="24"/>
          <w:szCs w:val="24"/>
          <w:lang w:val="en-GB"/>
        </w:rPr>
        <w:t>United Arab Emirates (UAE)</w:t>
      </w:r>
      <w:bookmarkEnd w:id="4"/>
    </w:p>
    <w:p w14:paraId="675C0D06"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b/>
          <w:sz w:val="24"/>
          <w:szCs w:val="24"/>
          <w:lang w:val="en-GB"/>
        </w:rPr>
        <w:t xml:space="preserve">Type of system: </w:t>
      </w:r>
      <w:r w:rsidRPr="00656114">
        <w:rPr>
          <w:rFonts w:asciiTheme="minorBidi" w:hAnsiTheme="minorBidi"/>
          <w:sz w:val="24"/>
          <w:szCs w:val="24"/>
          <w:lang w:val="en-GB"/>
        </w:rPr>
        <w:t>Mainly input based system, used for transfer and accumulation.</w:t>
      </w:r>
    </w:p>
    <w:p w14:paraId="4D315B09"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Definition:</w:t>
      </w:r>
    </w:p>
    <w:p w14:paraId="797E3E0F"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A credit value is the numerical value related to the notional hours accorded to a credit. Typically, the value relates to a notional quantum of hours per credit. </w:t>
      </w:r>
    </w:p>
    <w:p w14:paraId="0CCECAC4"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Credit matrix means the table indicating the total credit value assigned to a qualification (as outlined in the matrix at each level). </w:t>
      </w:r>
    </w:p>
    <w:p w14:paraId="2896FD81"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Equation</w:t>
      </w:r>
    </w:p>
    <w:p w14:paraId="43880605"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1 credit value = a notional value of 15 hours (with additional study hours)  </w:t>
      </w:r>
    </w:p>
    <w:p w14:paraId="5F916F01"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Nominal duration</w:t>
      </w:r>
    </w:p>
    <w:p w14:paraId="695C6243" w14:textId="437E20D1"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The notional minimum annual total is based on a nominal program</w:t>
      </w:r>
      <w:r w:rsidR="00430F27" w:rsidRPr="00656114">
        <w:rPr>
          <w:rFonts w:asciiTheme="minorBidi" w:hAnsiTheme="minorBidi"/>
          <w:sz w:val="24"/>
          <w:szCs w:val="24"/>
          <w:lang w:val="en-GB"/>
        </w:rPr>
        <w:t>me</w:t>
      </w:r>
      <w:r w:rsidRPr="00656114">
        <w:rPr>
          <w:rFonts w:asciiTheme="minorBidi" w:hAnsiTheme="minorBidi"/>
          <w:sz w:val="24"/>
          <w:szCs w:val="24"/>
          <w:lang w:val="en-GB"/>
        </w:rPr>
        <w:t>/course of 30 hours (notional attendance time) at 7.5 hours per day for 4 days or 6 hours per day for 5 days of which 8 hours covers the formally structured skills development component.</w:t>
      </w:r>
    </w:p>
    <w:p w14:paraId="65D468B9"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Sectors:</w:t>
      </w:r>
    </w:p>
    <w:p w14:paraId="20C27460" w14:textId="6F5C90DE" w:rsidR="008C0774" w:rsidRPr="00656114" w:rsidRDefault="008C0774" w:rsidP="00ED2488">
      <w:pPr>
        <w:spacing w:line="276" w:lineRule="auto"/>
        <w:jc w:val="both"/>
        <w:rPr>
          <w:rFonts w:asciiTheme="minorBidi" w:hAnsiTheme="minorBidi"/>
          <w:sz w:val="24"/>
          <w:szCs w:val="24"/>
          <w:lang w:val="en-GB"/>
        </w:rPr>
      </w:pPr>
      <w:r w:rsidRPr="00656114">
        <w:rPr>
          <w:rFonts w:asciiTheme="minorBidi" w:hAnsiTheme="minorBidi"/>
          <w:sz w:val="24"/>
          <w:szCs w:val="24"/>
          <w:lang w:val="en-GB"/>
        </w:rPr>
        <w:lastRenderedPageBreak/>
        <w:t xml:space="preserve">In relation to the </w:t>
      </w:r>
      <w:r w:rsidR="00ED2488" w:rsidRPr="00656114">
        <w:rPr>
          <w:rFonts w:asciiTheme="minorBidi" w:hAnsiTheme="minorBidi"/>
          <w:sz w:val="24"/>
          <w:szCs w:val="24"/>
          <w:lang w:val="en-GB"/>
        </w:rPr>
        <w:t xml:space="preserve">of </w:t>
      </w:r>
      <w:r w:rsidRPr="00656114">
        <w:rPr>
          <w:rFonts w:asciiTheme="minorBidi" w:hAnsiTheme="minorBidi"/>
          <w:sz w:val="24"/>
          <w:szCs w:val="24"/>
          <w:lang w:val="en-GB"/>
        </w:rPr>
        <w:t xml:space="preserve">Emirates, the Indicative Qualifications Credit Matrix, defined for convenience in a credit matrix applies to qualifications used in the Higher Education (HE) and Vocational Education and Training (VET) sectors. It does not apply to the General (compulsory) Education sector. </w:t>
      </w:r>
    </w:p>
    <w:p w14:paraId="4E91B457"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VET credits</w:t>
      </w:r>
    </w:p>
    <w:p w14:paraId="46C0475F"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The notional minimum quantum of 1 credit = 15 hours. This is comprised notionally of 11 hours’ formal instruction and this would amount to 4 hours formally structured skills development for knowledge and skills based unit standards. This would amount to a minimum annual nominal delivery total of 600 hours or their equivalent, with an additional expected study/experiential-load of 22 hours (i.e. tutorial, studies, skills practice, workplace exposure etc.). </w:t>
      </w:r>
    </w:p>
    <w:p w14:paraId="7153657D" w14:textId="77777777" w:rsidR="008C0774" w:rsidRPr="00656114" w:rsidRDefault="008C0774" w:rsidP="00FE7367">
      <w:pPr>
        <w:spacing w:line="276" w:lineRule="auto"/>
        <w:jc w:val="both"/>
        <w:rPr>
          <w:rFonts w:asciiTheme="minorBidi" w:hAnsiTheme="minorBidi"/>
          <w:b/>
          <w:bCs/>
          <w:sz w:val="24"/>
          <w:szCs w:val="24"/>
          <w:lang w:val="en-GB"/>
        </w:rPr>
      </w:pPr>
    </w:p>
    <w:p w14:paraId="276960A0" w14:textId="77777777" w:rsidR="008C0774" w:rsidRPr="00656114" w:rsidRDefault="008C0774" w:rsidP="00FE7367">
      <w:pPr>
        <w:pStyle w:val="Heading2"/>
        <w:spacing w:line="276" w:lineRule="auto"/>
        <w:jc w:val="both"/>
        <w:rPr>
          <w:rFonts w:asciiTheme="minorBidi" w:hAnsiTheme="minorBidi" w:cstheme="minorBidi"/>
          <w:b/>
          <w:bCs/>
          <w:color w:val="000000" w:themeColor="text1"/>
          <w:sz w:val="24"/>
          <w:szCs w:val="24"/>
          <w:lang w:val="en-GB"/>
        </w:rPr>
      </w:pPr>
      <w:bookmarkStart w:id="5" w:name="_Toc477942902"/>
      <w:r w:rsidRPr="00656114">
        <w:rPr>
          <w:rFonts w:asciiTheme="minorBidi" w:hAnsiTheme="minorBidi" w:cstheme="minorBidi"/>
          <w:b/>
          <w:bCs/>
          <w:color w:val="000000" w:themeColor="text1"/>
          <w:sz w:val="24"/>
          <w:szCs w:val="24"/>
          <w:lang w:val="en-GB"/>
        </w:rPr>
        <w:t>Malaysia</w:t>
      </w:r>
      <w:bookmarkEnd w:id="5"/>
    </w:p>
    <w:p w14:paraId="10ACA97A"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b/>
          <w:sz w:val="24"/>
          <w:szCs w:val="24"/>
          <w:lang w:val="en-GB"/>
        </w:rPr>
        <w:t xml:space="preserve">Type of system: </w:t>
      </w:r>
      <w:r w:rsidRPr="00656114">
        <w:rPr>
          <w:rFonts w:asciiTheme="minorBidi" w:hAnsiTheme="minorBidi"/>
          <w:sz w:val="24"/>
          <w:szCs w:val="24"/>
          <w:lang w:val="en-GB"/>
        </w:rPr>
        <w:t>Outcome based, learner centric credit system</w:t>
      </w:r>
    </w:p>
    <w:p w14:paraId="38124C1E"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 xml:space="preserve">Definition: </w:t>
      </w:r>
    </w:p>
    <w:p w14:paraId="30FEDB0A"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Credit is the quantitative measure that represents the volume of learning or academic load to attain the set of learning outcomes. Academic load is a quantitative measure of all learning activities required to achieve a defined set of learning outcomes. These activities include lecture, tutorial, seminar, practical, self-study, retrieval of information, research, fieldwork, as well as preparing for and sitting of an examination. </w:t>
      </w:r>
    </w:p>
    <w:p w14:paraId="125D5DC6"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Equation:</w:t>
      </w:r>
    </w:p>
    <w:p w14:paraId="22E335BF"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1 credit = 40 hours of notional learning time</w:t>
      </w:r>
    </w:p>
    <w:p w14:paraId="4991AF11"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 xml:space="preserve">Purpose: </w:t>
      </w:r>
    </w:p>
    <w:p w14:paraId="74F609B9" w14:textId="01F1AA64"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Developed for accumulation and transfer purposes: Enhancement of higher education provider’s autonomy to design and plan teaching and learning activities. These are not bound to the teaching hours or teaching and training staff input. The credit system supports the comparability between varieties in national educational system</w:t>
      </w:r>
      <w:r w:rsidR="00430F27" w:rsidRPr="00656114">
        <w:rPr>
          <w:rFonts w:asciiTheme="minorBidi" w:hAnsiTheme="minorBidi"/>
          <w:sz w:val="24"/>
          <w:szCs w:val="24"/>
          <w:lang w:val="en-GB"/>
        </w:rPr>
        <w:t>s.</w:t>
      </w:r>
      <w:r w:rsidRPr="00656114">
        <w:rPr>
          <w:rFonts w:asciiTheme="minorBidi" w:hAnsiTheme="minorBidi"/>
          <w:sz w:val="24"/>
          <w:szCs w:val="24"/>
          <w:lang w:val="en-GB"/>
        </w:rPr>
        <w:t xml:space="preserve"> </w:t>
      </w:r>
    </w:p>
    <w:p w14:paraId="32D70EFF"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 xml:space="preserve">Sectors: </w:t>
      </w:r>
    </w:p>
    <w:p w14:paraId="7F671EE8" w14:textId="57831CDD"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The credit system is developed for universities, colleges, polytechnics and community colleges, part time and full</w:t>
      </w:r>
      <w:r w:rsidR="00430F27" w:rsidRPr="00656114">
        <w:rPr>
          <w:rFonts w:asciiTheme="minorBidi" w:hAnsiTheme="minorBidi"/>
          <w:sz w:val="24"/>
          <w:szCs w:val="24"/>
          <w:lang w:val="en-GB"/>
        </w:rPr>
        <w:t>-</w:t>
      </w:r>
      <w:r w:rsidRPr="00656114">
        <w:rPr>
          <w:rFonts w:asciiTheme="minorBidi" w:hAnsiTheme="minorBidi"/>
          <w:sz w:val="24"/>
          <w:szCs w:val="24"/>
          <w:lang w:val="en-GB"/>
        </w:rPr>
        <w:t>time study, public and private sectors, e-learning and non-formal learning.</w:t>
      </w:r>
    </w:p>
    <w:p w14:paraId="2B03DCC7" w14:textId="77777777" w:rsidR="00ED2488" w:rsidRPr="00656114" w:rsidRDefault="00ED2488" w:rsidP="00FE7367">
      <w:pPr>
        <w:spacing w:line="276" w:lineRule="auto"/>
        <w:jc w:val="both"/>
        <w:rPr>
          <w:rFonts w:asciiTheme="minorBidi" w:hAnsiTheme="minorBidi"/>
          <w:b/>
          <w:sz w:val="24"/>
          <w:szCs w:val="24"/>
          <w:lang w:val="en-GB"/>
        </w:rPr>
      </w:pPr>
    </w:p>
    <w:p w14:paraId="1A780DC9" w14:textId="252C2E95"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lastRenderedPageBreak/>
        <w:t>Further reading:</w:t>
      </w:r>
    </w:p>
    <w:p w14:paraId="0AB58761" w14:textId="282E96B4" w:rsidR="008C0774" w:rsidRPr="00656114" w:rsidRDefault="008C0774" w:rsidP="00FE7367">
      <w:pPr>
        <w:spacing w:line="276" w:lineRule="auto"/>
        <w:jc w:val="both"/>
        <w:rPr>
          <w:rFonts w:asciiTheme="minorBidi" w:hAnsiTheme="minorBidi"/>
          <w:bCs/>
          <w:sz w:val="24"/>
          <w:szCs w:val="24"/>
          <w:lang w:val="en-GB"/>
        </w:rPr>
      </w:pPr>
      <w:r w:rsidRPr="00656114">
        <w:rPr>
          <w:rFonts w:asciiTheme="minorBidi" w:hAnsiTheme="minorBidi"/>
          <w:bCs/>
          <w:sz w:val="24"/>
          <w:szCs w:val="24"/>
          <w:lang w:val="en-GB"/>
        </w:rPr>
        <w:t>Malaysian qualification</w:t>
      </w:r>
      <w:r w:rsidR="00ED6487" w:rsidRPr="00656114">
        <w:rPr>
          <w:rFonts w:asciiTheme="minorBidi" w:hAnsiTheme="minorBidi"/>
          <w:bCs/>
          <w:sz w:val="24"/>
          <w:szCs w:val="24"/>
          <w:lang w:val="en-GB"/>
        </w:rPr>
        <w:t>s</w:t>
      </w:r>
      <w:r w:rsidRPr="00656114">
        <w:rPr>
          <w:rFonts w:asciiTheme="minorBidi" w:hAnsiTheme="minorBidi"/>
          <w:bCs/>
          <w:sz w:val="24"/>
          <w:szCs w:val="24"/>
          <w:lang w:val="en-GB"/>
        </w:rPr>
        <w:t xml:space="preserve"> framework: </w:t>
      </w:r>
      <w:r w:rsidR="00ED6487" w:rsidRPr="00656114">
        <w:rPr>
          <w:rStyle w:val="Hyperlink"/>
          <w:rFonts w:asciiTheme="minorBidi" w:hAnsiTheme="minorBidi"/>
          <w:bCs/>
          <w:sz w:val="24"/>
          <w:szCs w:val="24"/>
          <w:lang w:val="en-GB"/>
        </w:rPr>
        <w:t>http://www.mqa.gov.my/portalMQA/default/en/mqf.cfm</w:t>
      </w:r>
    </w:p>
    <w:p w14:paraId="1482C4D5" w14:textId="77777777" w:rsidR="008C0774" w:rsidRPr="00656114" w:rsidRDefault="008C0774" w:rsidP="00FE7367">
      <w:pPr>
        <w:spacing w:line="276" w:lineRule="auto"/>
        <w:jc w:val="both"/>
        <w:rPr>
          <w:rFonts w:asciiTheme="minorBidi" w:hAnsiTheme="minorBidi"/>
          <w:b/>
          <w:sz w:val="24"/>
          <w:szCs w:val="24"/>
          <w:lang w:val="en-GB"/>
        </w:rPr>
      </w:pPr>
    </w:p>
    <w:p w14:paraId="77C5D181" w14:textId="77777777" w:rsidR="008C0774" w:rsidRPr="00656114" w:rsidRDefault="008C0774" w:rsidP="00FE7367">
      <w:pPr>
        <w:spacing w:line="276" w:lineRule="auto"/>
        <w:jc w:val="both"/>
        <w:rPr>
          <w:rFonts w:asciiTheme="minorBidi" w:hAnsiTheme="minorBidi"/>
          <w:b/>
          <w:sz w:val="24"/>
          <w:szCs w:val="24"/>
          <w:lang w:val="en-GB"/>
        </w:rPr>
      </w:pPr>
    </w:p>
    <w:p w14:paraId="7B032F8E" w14:textId="07D2B233" w:rsidR="008C0774" w:rsidRPr="00656114" w:rsidRDefault="008C0774" w:rsidP="00FE7367">
      <w:pPr>
        <w:pStyle w:val="Heading2"/>
        <w:spacing w:line="276" w:lineRule="auto"/>
        <w:jc w:val="both"/>
        <w:rPr>
          <w:rFonts w:asciiTheme="minorBidi" w:hAnsiTheme="minorBidi" w:cstheme="minorBidi"/>
          <w:b/>
          <w:bCs/>
          <w:color w:val="000000" w:themeColor="text1"/>
          <w:sz w:val="24"/>
          <w:szCs w:val="24"/>
          <w:lang w:val="en-GB"/>
        </w:rPr>
      </w:pPr>
      <w:bookmarkStart w:id="6" w:name="_Toc477942903"/>
      <w:r w:rsidRPr="00656114">
        <w:rPr>
          <w:rFonts w:asciiTheme="minorBidi" w:hAnsiTheme="minorBidi" w:cstheme="minorBidi"/>
          <w:b/>
          <w:bCs/>
          <w:color w:val="000000" w:themeColor="text1"/>
          <w:sz w:val="24"/>
          <w:szCs w:val="24"/>
          <w:lang w:val="en-GB"/>
        </w:rPr>
        <w:t>South Africa</w:t>
      </w:r>
      <w:r w:rsidR="00430F27" w:rsidRPr="00656114">
        <w:rPr>
          <w:rFonts w:asciiTheme="minorBidi" w:hAnsiTheme="minorBidi" w:cstheme="minorBidi"/>
          <w:b/>
          <w:bCs/>
          <w:color w:val="000000" w:themeColor="text1"/>
          <w:sz w:val="24"/>
          <w:szCs w:val="24"/>
          <w:lang w:val="en-GB"/>
        </w:rPr>
        <w:t xml:space="preserve"> </w:t>
      </w:r>
      <w:bookmarkEnd w:id="6"/>
    </w:p>
    <w:p w14:paraId="0CE8CE4E"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b/>
          <w:bCs/>
          <w:sz w:val="24"/>
          <w:szCs w:val="24"/>
          <w:lang w:val="en-GB"/>
        </w:rPr>
        <w:t>Type of system:</w:t>
      </w:r>
      <w:r w:rsidRPr="00656114">
        <w:rPr>
          <w:rFonts w:asciiTheme="minorBidi" w:hAnsiTheme="minorBidi"/>
          <w:sz w:val="24"/>
          <w:szCs w:val="24"/>
          <w:lang w:val="en-GB"/>
        </w:rPr>
        <w:t xml:space="preserve"> Outcome based, learner centric, for accumulation and transfer purposes, including RPL.</w:t>
      </w:r>
    </w:p>
    <w:p w14:paraId="4948B353"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Definition:</w:t>
      </w:r>
    </w:p>
    <w:p w14:paraId="05145D0F"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Credit within the context of the NQF is a measure of the volume of learning required for a qualification or part-qualification, quantified as the number of notional learning hours required for achieving the learning outcomes specified for the qualification or part-qualification at a specific level of the NQF as described in the level descriptors. “Notional hours of learning” comprises the total amount of time it would take an average learner to meet the outcomes defined in a learning experience and include, inter alia, face-to face contact time, time spent in structured learning in the workplace, time for completing assignments and research, and time spent in assessment processes.</w:t>
      </w:r>
    </w:p>
    <w:p w14:paraId="105E42B4"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Equation:</w:t>
      </w:r>
    </w:p>
    <w:p w14:paraId="0B31B15C"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1 credit = 10 notional hours of learning. </w:t>
      </w:r>
    </w:p>
    <w:p w14:paraId="6C265FDE"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Nominal duration:</w:t>
      </w:r>
    </w:p>
    <w:p w14:paraId="1738CA54" w14:textId="78F3940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The minimum credits for a full Qualification is 120 credits, which translates to 1200 notional hours of instruction and study. It is generally completed over 1</w:t>
      </w:r>
      <w:r w:rsidR="00430F27" w:rsidRPr="00656114">
        <w:rPr>
          <w:rFonts w:asciiTheme="minorBidi" w:hAnsiTheme="minorBidi"/>
          <w:sz w:val="24"/>
          <w:szCs w:val="24"/>
          <w:lang w:val="en-GB"/>
        </w:rPr>
        <w:t>-</w:t>
      </w:r>
      <w:r w:rsidRPr="00656114">
        <w:rPr>
          <w:rFonts w:asciiTheme="minorBidi" w:hAnsiTheme="minorBidi"/>
          <w:sz w:val="24"/>
          <w:szCs w:val="24"/>
          <w:lang w:val="en-GB"/>
        </w:rPr>
        <w:t>year full time study at a registered and accredited Institution.</w:t>
      </w:r>
    </w:p>
    <w:p w14:paraId="11AF0F6F"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 xml:space="preserve">Sectors: </w:t>
      </w:r>
    </w:p>
    <w:p w14:paraId="03EFC9B4"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The credit accumulation and transfer system applies to the whole range of qualifications registered on the NQF and managed by the NQF authority (SAQA). This includes formal qualifications in higher education, general and further education and occupational qualifications. </w:t>
      </w:r>
    </w:p>
    <w:p w14:paraId="71988584"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Further reading</w:t>
      </w:r>
    </w:p>
    <w:p w14:paraId="0347120B" w14:textId="3DA8F1B8" w:rsidR="008C0774" w:rsidRPr="00656114" w:rsidRDefault="008C0774" w:rsidP="00FE7367">
      <w:pPr>
        <w:numPr>
          <w:ilvl w:val="0"/>
          <w:numId w:val="34"/>
        </w:numPr>
        <w:spacing w:line="276" w:lineRule="auto"/>
        <w:contextualSpacing/>
        <w:jc w:val="both"/>
        <w:rPr>
          <w:rFonts w:asciiTheme="minorBidi" w:hAnsiTheme="minorBidi"/>
          <w:sz w:val="24"/>
          <w:szCs w:val="24"/>
          <w:lang w:val="en-GB"/>
        </w:rPr>
      </w:pPr>
      <w:r w:rsidRPr="00656114">
        <w:rPr>
          <w:rFonts w:asciiTheme="minorBidi" w:hAnsiTheme="minorBidi"/>
          <w:sz w:val="24"/>
          <w:szCs w:val="24"/>
          <w:lang w:val="en-GB"/>
        </w:rPr>
        <w:lastRenderedPageBreak/>
        <w:t xml:space="preserve">SAQA Policy for Credit Accumulation and Transfer within the National Qualifications Framework </w:t>
      </w:r>
      <w:r w:rsidR="00ED6487" w:rsidRPr="00656114">
        <w:rPr>
          <w:rFonts w:asciiTheme="minorBidi" w:hAnsiTheme="minorBidi"/>
          <w:color w:val="0563C1" w:themeColor="hyperlink"/>
          <w:sz w:val="24"/>
          <w:szCs w:val="24"/>
          <w:u w:val="single"/>
          <w:lang w:val="en-GB"/>
        </w:rPr>
        <w:t>http://www.saqa.org.za/docs/pol/2014/Polic%20for%20credit.pdf</w:t>
      </w:r>
    </w:p>
    <w:p w14:paraId="588BD17D" w14:textId="77777777" w:rsidR="008C0774" w:rsidRPr="00656114" w:rsidRDefault="008C0774" w:rsidP="00FE7367">
      <w:pPr>
        <w:numPr>
          <w:ilvl w:val="0"/>
          <w:numId w:val="34"/>
        </w:numPr>
        <w:spacing w:line="276" w:lineRule="auto"/>
        <w:contextualSpacing/>
        <w:jc w:val="both"/>
        <w:rPr>
          <w:rFonts w:asciiTheme="minorBidi" w:hAnsiTheme="minorBidi"/>
          <w:sz w:val="24"/>
          <w:szCs w:val="24"/>
          <w:lang w:val="en-GB"/>
        </w:rPr>
      </w:pPr>
      <w:r w:rsidRPr="00656114">
        <w:rPr>
          <w:rFonts w:asciiTheme="minorBidi" w:hAnsiTheme="minorBidi"/>
          <w:sz w:val="24"/>
          <w:szCs w:val="24"/>
          <w:lang w:val="en-GB"/>
        </w:rPr>
        <w:t xml:space="preserve">SAQA website </w:t>
      </w:r>
      <w:hyperlink r:id="rId8" w:history="1">
        <w:r w:rsidRPr="00656114">
          <w:rPr>
            <w:rFonts w:asciiTheme="minorBidi" w:hAnsiTheme="minorBidi"/>
            <w:color w:val="0563C1" w:themeColor="hyperlink"/>
            <w:sz w:val="24"/>
            <w:szCs w:val="24"/>
            <w:u w:val="single"/>
            <w:lang w:val="en-GB"/>
          </w:rPr>
          <w:t>http://www.saqa.org.za/index.php</w:t>
        </w:r>
      </w:hyperlink>
    </w:p>
    <w:p w14:paraId="06F089AC" w14:textId="77777777" w:rsidR="008C0774" w:rsidRPr="00656114" w:rsidRDefault="008C0774" w:rsidP="00FE7367">
      <w:pPr>
        <w:spacing w:line="276" w:lineRule="auto"/>
        <w:jc w:val="both"/>
        <w:rPr>
          <w:rFonts w:asciiTheme="minorBidi" w:hAnsiTheme="minorBidi"/>
          <w:b/>
          <w:sz w:val="24"/>
          <w:szCs w:val="24"/>
          <w:lang w:val="en-GB"/>
        </w:rPr>
      </w:pPr>
    </w:p>
    <w:p w14:paraId="54DE4D1F" w14:textId="77777777" w:rsidR="008C0774" w:rsidRPr="00656114" w:rsidRDefault="008C0774" w:rsidP="00FE7367">
      <w:pPr>
        <w:pStyle w:val="Heading2"/>
        <w:spacing w:line="276" w:lineRule="auto"/>
        <w:jc w:val="both"/>
        <w:rPr>
          <w:rFonts w:asciiTheme="minorBidi" w:hAnsiTheme="minorBidi" w:cstheme="minorBidi"/>
          <w:b/>
          <w:bCs/>
          <w:color w:val="000000" w:themeColor="text1"/>
          <w:sz w:val="24"/>
          <w:szCs w:val="24"/>
          <w:lang w:val="en-GB"/>
        </w:rPr>
      </w:pPr>
      <w:bookmarkStart w:id="7" w:name="_Toc477942904"/>
      <w:r w:rsidRPr="00656114">
        <w:rPr>
          <w:rFonts w:asciiTheme="minorBidi" w:hAnsiTheme="minorBidi" w:cstheme="minorBidi"/>
          <w:b/>
          <w:bCs/>
          <w:color w:val="000000" w:themeColor="text1"/>
          <w:sz w:val="24"/>
          <w:szCs w:val="24"/>
          <w:lang w:val="en-GB"/>
        </w:rPr>
        <w:t>Bahrain</w:t>
      </w:r>
      <w:bookmarkEnd w:id="7"/>
      <w:r w:rsidRPr="00656114">
        <w:rPr>
          <w:rFonts w:asciiTheme="minorBidi" w:hAnsiTheme="minorBidi" w:cstheme="minorBidi"/>
          <w:b/>
          <w:bCs/>
          <w:color w:val="000000" w:themeColor="text1"/>
          <w:sz w:val="24"/>
          <w:szCs w:val="24"/>
          <w:lang w:val="en-GB"/>
        </w:rPr>
        <w:t xml:space="preserve"> </w:t>
      </w:r>
    </w:p>
    <w:p w14:paraId="6F417C98"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b/>
          <w:bCs/>
          <w:sz w:val="24"/>
          <w:szCs w:val="24"/>
          <w:lang w:val="en-GB"/>
        </w:rPr>
        <w:t xml:space="preserve">Type of system: </w:t>
      </w:r>
      <w:r w:rsidRPr="00656114">
        <w:rPr>
          <w:rFonts w:asciiTheme="minorBidi" w:hAnsiTheme="minorBidi"/>
          <w:sz w:val="24"/>
          <w:szCs w:val="24"/>
          <w:lang w:val="en-GB"/>
        </w:rPr>
        <w:t>Learner centric system measuring notional learning hours. However, it is not clear from the available documents whether the actual learning time is estimated for each unit and qualification separately, or just assumed based on contact hours.</w:t>
      </w:r>
    </w:p>
    <w:p w14:paraId="3E55C75C" w14:textId="77777777" w:rsidR="008C0774" w:rsidRPr="00656114" w:rsidRDefault="008C0774" w:rsidP="00FE7367">
      <w:pPr>
        <w:spacing w:line="276" w:lineRule="auto"/>
        <w:jc w:val="both"/>
        <w:rPr>
          <w:rFonts w:asciiTheme="minorBidi" w:hAnsiTheme="minorBidi"/>
          <w:sz w:val="24"/>
          <w:szCs w:val="24"/>
          <w:lang w:val="en-GB"/>
        </w:rPr>
      </w:pPr>
    </w:p>
    <w:p w14:paraId="7BCDDCE0"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Definition:</w:t>
      </w:r>
    </w:p>
    <w:p w14:paraId="239F7004"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NQF credit is based on the notional learning hours required for a typical learner, at a specified level, to achieve a set of learning outcomes. Individual units of a qualification should be allocated notional learning hours, considering all types of learning activities that contribute to the achievement of learning outcomes.</w:t>
      </w:r>
    </w:p>
    <w:p w14:paraId="2B6D4B9C"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Equation:</w:t>
      </w:r>
    </w:p>
    <w:p w14:paraId="1AFA6E93"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1 NQF credit = 10 notional learning hours. Conversion into European and US credit systems: 1 ECTS = 2 NQF credits, 1 USA credit = 4 NQF credits. The NQF does not allow the use of fractions in the calculated credits - fraction credit hours are rounded to the nearest whole credit.</w:t>
      </w:r>
    </w:p>
    <w:p w14:paraId="43C847B1"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Nominal duration:</w:t>
      </w:r>
    </w:p>
    <w:p w14:paraId="7573358D"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The NQF considers a standard academic year to involve 1,200 notional learning hours or 120 Credits, a ratio of 10:1.</w:t>
      </w:r>
    </w:p>
    <w:p w14:paraId="58327F04"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Purpose:</w:t>
      </w:r>
    </w:p>
    <w:p w14:paraId="243F9F5C"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Credit value can be useful for comparing the depth or volume of learning, aiding the design of units and qualifications, providing a framework for learning access, transfer and progression, and supporting the development of consistent learner workloads across qualifications within different disciplines and/or within different learning environments.</w:t>
      </w:r>
    </w:p>
    <w:p w14:paraId="2BB8AB9A"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Sectors:</w:t>
      </w:r>
    </w:p>
    <w:p w14:paraId="669BFAA6" w14:textId="00F394F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lastRenderedPageBreak/>
        <w:t>One organi</w:t>
      </w:r>
      <w:r w:rsidR="004C5BF3" w:rsidRPr="00656114">
        <w:rPr>
          <w:rFonts w:asciiTheme="minorBidi" w:hAnsiTheme="minorBidi"/>
          <w:sz w:val="24"/>
          <w:szCs w:val="24"/>
          <w:lang w:val="en-GB"/>
        </w:rPr>
        <w:t>s</w:t>
      </w:r>
      <w:r w:rsidRPr="00656114">
        <w:rPr>
          <w:rFonts w:asciiTheme="minorBidi" w:hAnsiTheme="minorBidi"/>
          <w:sz w:val="24"/>
          <w:szCs w:val="24"/>
          <w:lang w:val="en-GB"/>
        </w:rPr>
        <w:t>ation (QQA) is mandated for all sectors: higher education, vocational education and training and schools. It is</w:t>
      </w:r>
      <w:r w:rsidR="00D8774C" w:rsidRPr="00656114">
        <w:rPr>
          <w:rFonts w:asciiTheme="minorBidi" w:hAnsiTheme="minorBidi"/>
          <w:sz w:val="24"/>
          <w:szCs w:val="24"/>
          <w:lang w:val="en-GB"/>
        </w:rPr>
        <w:t>,</w:t>
      </w:r>
      <w:r w:rsidRPr="00656114">
        <w:rPr>
          <w:rFonts w:asciiTheme="minorBidi" w:hAnsiTheme="minorBidi"/>
          <w:sz w:val="24"/>
          <w:szCs w:val="24"/>
          <w:lang w:val="en-GB"/>
        </w:rPr>
        <w:t xml:space="preserve"> however</w:t>
      </w:r>
      <w:r w:rsidR="00D8774C" w:rsidRPr="00656114">
        <w:rPr>
          <w:rFonts w:asciiTheme="minorBidi" w:hAnsiTheme="minorBidi"/>
          <w:sz w:val="24"/>
          <w:szCs w:val="24"/>
          <w:lang w:val="en-GB"/>
        </w:rPr>
        <w:t>,</w:t>
      </w:r>
      <w:r w:rsidRPr="00656114">
        <w:rPr>
          <w:rFonts w:asciiTheme="minorBidi" w:hAnsiTheme="minorBidi"/>
          <w:sz w:val="24"/>
          <w:szCs w:val="24"/>
          <w:lang w:val="en-GB"/>
        </w:rPr>
        <w:t xml:space="preserve"> not clear if the credit system is already in place in all three sectors.</w:t>
      </w:r>
    </w:p>
    <w:p w14:paraId="08EBABFE"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Further reading:</w:t>
      </w:r>
    </w:p>
    <w:p w14:paraId="157191CE" w14:textId="77777777" w:rsidR="00FE7367"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The National Qualifications Framework of Bahrain:</w:t>
      </w:r>
    </w:p>
    <w:p w14:paraId="5431E226" w14:textId="00A001CC"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 </w:t>
      </w:r>
      <w:r w:rsidR="00ED6487" w:rsidRPr="00656114">
        <w:rPr>
          <w:rStyle w:val="Hyperlink"/>
          <w:rFonts w:asciiTheme="minorBidi" w:hAnsiTheme="minorBidi"/>
          <w:sz w:val="24"/>
          <w:szCs w:val="24"/>
          <w:lang w:val="en-GB"/>
        </w:rPr>
        <w:t>http://www.bqa.gov.bh/En/QaaetUnits/NQFU/Pages/NQF.aspx</w:t>
      </w:r>
    </w:p>
    <w:p w14:paraId="18BDB276" w14:textId="77777777" w:rsidR="008C0774" w:rsidRPr="00656114" w:rsidRDefault="008C0774" w:rsidP="00FE7367">
      <w:pPr>
        <w:spacing w:line="276" w:lineRule="auto"/>
        <w:jc w:val="both"/>
        <w:rPr>
          <w:rFonts w:asciiTheme="minorBidi" w:hAnsiTheme="minorBidi"/>
          <w:b/>
          <w:bCs/>
          <w:sz w:val="24"/>
          <w:szCs w:val="24"/>
          <w:lang w:val="en-GB"/>
        </w:rPr>
      </w:pPr>
    </w:p>
    <w:p w14:paraId="40740680" w14:textId="77777777" w:rsidR="008C0774" w:rsidRPr="00656114" w:rsidRDefault="008C0774" w:rsidP="00FE7367">
      <w:pPr>
        <w:pStyle w:val="Heading2"/>
        <w:spacing w:line="276" w:lineRule="auto"/>
        <w:jc w:val="both"/>
        <w:rPr>
          <w:rFonts w:asciiTheme="minorBidi" w:hAnsiTheme="minorBidi" w:cstheme="minorBidi"/>
          <w:b/>
          <w:bCs/>
          <w:color w:val="000000" w:themeColor="text1"/>
          <w:sz w:val="24"/>
          <w:szCs w:val="24"/>
          <w:lang w:val="en-GB"/>
        </w:rPr>
      </w:pPr>
      <w:bookmarkStart w:id="8" w:name="_Toc477942905"/>
      <w:r w:rsidRPr="00656114">
        <w:rPr>
          <w:rFonts w:asciiTheme="minorBidi" w:hAnsiTheme="minorBidi" w:cstheme="minorBidi"/>
          <w:b/>
          <w:bCs/>
          <w:color w:val="000000" w:themeColor="text1"/>
          <w:sz w:val="24"/>
          <w:szCs w:val="24"/>
          <w:lang w:val="en-GB"/>
        </w:rPr>
        <w:t>Denmark and (Continental) Europe</w:t>
      </w:r>
      <w:bookmarkEnd w:id="8"/>
    </w:p>
    <w:p w14:paraId="3E2A27BA" w14:textId="77777777" w:rsidR="008C0774" w:rsidRPr="00656114" w:rsidRDefault="008C0774" w:rsidP="00FE7367">
      <w:pPr>
        <w:pStyle w:val="Heading3"/>
        <w:spacing w:line="276" w:lineRule="auto"/>
        <w:jc w:val="both"/>
        <w:rPr>
          <w:rFonts w:asciiTheme="minorBidi" w:hAnsiTheme="minorBidi" w:cstheme="minorBidi"/>
          <w:b/>
          <w:bCs/>
          <w:color w:val="000000" w:themeColor="text1"/>
          <w:lang w:val="en-GB"/>
        </w:rPr>
      </w:pPr>
      <w:bookmarkStart w:id="9" w:name="_Toc477942906"/>
      <w:r w:rsidRPr="00656114">
        <w:rPr>
          <w:rFonts w:asciiTheme="minorBidi" w:hAnsiTheme="minorBidi" w:cstheme="minorBidi"/>
          <w:b/>
          <w:bCs/>
          <w:color w:val="000000" w:themeColor="text1"/>
          <w:lang w:val="en-GB"/>
        </w:rPr>
        <w:t>Credit system in Higher Education and Vocational Education and Training</w:t>
      </w:r>
      <w:bookmarkEnd w:id="9"/>
    </w:p>
    <w:p w14:paraId="7242F27E" w14:textId="77777777" w:rsidR="008C0774" w:rsidRPr="00656114" w:rsidRDefault="008C0774" w:rsidP="00FE7367">
      <w:pPr>
        <w:spacing w:line="276" w:lineRule="auto"/>
        <w:jc w:val="both"/>
        <w:rPr>
          <w:rFonts w:asciiTheme="minorBidi" w:hAnsiTheme="minorBidi"/>
          <w:b/>
          <w:sz w:val="24"/>
          <w:szCs w:val="24"/>
          <w:u w:val="single"/>
          <w:lang w:val="en-GB"/>
        </w:rPr>
      </w:pPr>
    </w:p>
    <w:p w14:paraId="0D5DC982" w14:textId="77777777" w:rsidR="008C0774" w:rsidRPr="00656114" w:rsidRDefault="008C0774" w:rsidP="00FE7367">
      <w:pPr>
        <w:spacing w:line="276" w:lineRule="auto"/>
        <w:jc w:val="both"/>
        <w:rPr>
          <w:rFonts w:asciiTheme="minorBidi" w:hAnsiTheme="minorBidi"/>
          <w:b/>
          <w:sz w:val="24"/>
          <w:szCs w:val="24"/>
          <w:u w:val="single"/>
          <w:lang w:val="en-GB"/>
        </w:rPr>
      </w:pPr>
      <w:r w:rsidRPr="00656114">
        <w:rPr>
          <w:rFonts w:asciiTheme="minorBidi" w:hAnsiTheme="minorBidi"/>
          <w:b/>
          <w:sz w:val="24"/>
          <w:szCs w:val="24"/>
          <w:u w:val="single"/>
          <w:lang w:val="en-GB"/>
        </w:rPr>
        <w:t>Higher education:</w:t>
      </w:r>
    </w:p>
    <w:p w14:paraId="62082BE8" w14:textId="77777777" w:rsidR="008C0774" w:rsidRPr="00656114" w:rsidRDefault="008C0774" w:rsidP="00FE7367">
      <w:pPr>
        <w:autoSpaceDE w:val="0"/>
        <w:autoSpaceDN w:val="0"/>
        <w:adjustRightInd w:val="0"/>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Type of system:</w:t>
      </w:r>
    </w:p>
    <w:p w14:paraId="6E895F83" w14:textId="12222094"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ECTS – is </w:t>
      </w:r>
      <w:r w:rsidR="00FE7367" w:rsidRPr="00656114">
        <w:rPr>
          <w:rFonts w:asciiTheme="minorBidi" w:hAnsiTheme="minorBidi"/>
          <w:sz w:val="24"/>
          <w:szCs w:val="24"/>
          <w:lang w:val="en-GB"/>
        </w:rPr>
        <w:t xml:space="preserve">a </w:t>
      </w:r>
      <w:r w:rsidRPr="00656114">
        <w:rPr>
          <w:rFonts w:asciiTheme="minorBidi" w:hAnsiTheme="minorBidi"/>
          <w:sz w:val="24"/>
          <w:szCs w:val="24"/>
          <w:lang w:val="en-GB"/>
        </w:rPr>
        <w:t>student</w:t>
      </w:r>
      <w:r w:rsidR="00926A38" w:rsidRPr="00656114">
        <w:rPr>
          <w:rFonts w:asciiTheme="minorBidi" w:hAnsiTheme="minorBidi"/>
          <w:sz w:val="24"/>
          <w:szCs w:val="24"/>
          <w:lang w:val="en-GB"/>
        </w:rPr>
        <w:t>-</w:t>
      </w:r>
      <w:r w:rsidRPr="00656114">
        <w:rPr>
          <w:rFonts w:asciiTheme="minorBidi" w:hAnsiTheme="minorBidi"/>
          <w:sz w:val="24"/>
          <w:szCs w:val="24"/>
          <w:lang w:val="en-GB"/>
        </w:rPr>
        <w:t>centred system that focuses on students’ workload necessary to achieve the prescribed learning outcomes. It is a standardi</w:t>
      </w:r>
      <w:r w:rsidR="00FE7367" w:rsidRPr="00656114">
        <w:rPr>
          <w:rFonts w:asciiTheme="minorBidi" w:hAnsiTheme="minorBidi"/>
          <w:sz w:val="24"/>
          <w:szCs w:val="24"/>
          <w:lang w:val="en-GB"/>
        </w:rPr>
        <w:t>s</w:t>
      </w:r>
      <w:r w:rsidRPr="00656114">
        <w:rPr>
          <w:rFonts w:asciiTheme="minorBidi" w:hAnsiTheme="minorBidi"/>
          <w:sz w:val="24"/>
          <w:szCs w:val="24"/>
          <w:lang w:val="en-GB"/>
        </w:rPr>
        <w:t>ed system across Europe, including Denmark.</w:t>
      </w:r>
    </w:p>
    <w:p w14:paraId="5F16491A" w14:textId="77777777" w:rsidR="008C0774" w:rsidRPr="00656114" w:rsidRDefault="008C0774" w:rsidP="00FE7367">
      <w:pPr>
        <w:autoSpaceDE w:val="0"/>
        <w:autoSpaceDN w:val="0"/>
        <w:adjustRightInd w:val="0"/>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Definition:</w:t>
      </w:r>
    </w:p>
    <w:p w14:paraId="74FF5225" w14:textId="4BF91AA4" w:rsidR="008C0774" w:rsidRPr="00656114" w:rsidRDefault="008C0774" w:rsidP="00FE7367">
      <w:pPr>
        <w:spacing w:line="276" w:lineRule="auto"/>
        <w:jc w:val="both"/>
        <w:rPr>
          <w:rFonts w:asciiTheme="minorBidi" w:hAnsiTheme="minorBidi"/>
          <w:sz w:val="24"/>
          <w:szCs w:val="24"/>
          <w:shd w:val="clear" w:color="auto" w:fill="FAFAFA"/>
          <w:lang w:val="en-GB"/>
        </w:rPr>
      </w:pPr>
      <w:r w:rsidRPr="00656114">
        <w:rPr>
          <w:rFonts w:asciiTheme="minorBidi" w:hAnsiTheme="minorBidi"/>
          <w:sz w:val="24"/>
          <w:szCs w:val="24"/>
          <w:shd w:val="clear" w:color="auto" w:fill="FAFAFA"/>
          <w:lang w:val="en-GB"/>
        </w:rPr>
        <w:t xml:space="preserve">ECTS is a credit accumulation and transfer system, based on learning achievements and student workload. </w:t>
      </w:r>
    </w:p>
    <w:p w14:paraId="3804950A" w14:textId="77777777" w:rsidR="008C0774" w:rsidRPr="00656114" w:rsidRDefault="008C0774" w:rsidP="00FE7367">
      <w:pPr>
        <w:autoSpaceDE w:val="0"/>
        <w:autoSpaceDN w:val="0"/>
        <w:adjustRightInd w:val="0"/>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Equation:</w:t>
      </w:r>
    </w:p>
    <w:p w14:paraId="22D66E6A" w14:textId="7968EC06"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1 ECTS credit = (corresponds) to 25 to 30 hours of work. It should be recogni</w:t>
      </w:r>
      <w:r w:rsidR="00ED6487" w:rsidRPr="00656114">
        <w:rPr>
          <w:rFonts w:asciiTheme="minorBidi" w:hAnsiTheme="minorBidi"/>
          <w:sz w:val="24"/>
          <w:szCs w:val="24"/>
          <w:lang w:val="en-GB"/>
        </w:rPr>
        <w:t>s</w:t>
      </w:r>
      <w:r w:rsidRPr="00656114">
        <w:rPr>
          <w:rFonts w:asciiTheme="minorBidi" w:hAnsiTheme="minorBidi"/>
          <w:sz w:val="24"/>
          <w:szCs w:val="24"/>
          <w:lang w:val="en-GB"/>
        </w:rPr>
        <w:t xml:space="preserve">ed that this represents the typical workload and that for individual students the actual time to achieve the learning outcomes will vary. </w:t>
      </w:r>
    </w:p>
    <w:p w14:paraId="6F16EAC6" w14:textId="60BCA578"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1 full time academic year = 60</w:t>
      </w:r>
      <w:r w:rsidR="00FE7367" w:rsidRPr="00656114">
        <w:rPr>
          <w:rFonts w:asciiTheme="minorBidi" w:hAnsiTheme="minorBidi"/>
          <w:sz w:val="24"/>
          <w:szCs w:val="24"/>
          <w:lang w:val="en-GB"/>
        </w:rPr>
        <w:t xml:space="preserve"> </w:t>
      </w:r>
      <w:r w:rsidRPr="00656114">
        <w:rPr>
          <w:rFonts w:asciiTheme="minorBidi" w:hAnsiTheme="minorBidi"/>
          <w:sz w:val="24"/>
          <w:szCs w:val="24"/>
          <w:lang w:val="en-GB"/>
        </w:rPr>
        <w:t>ECTS. In other words, 60 ECTS credits are allocated to the learning outcomes and associated workload of a full-time academic year or its equivalent. In most cases, workload ranges from 1500 to 1800 hours for an academic year.</w:t>
      </w:r>
      <w:r w:rsidR="00131EFF" w:rsidRPr="00656114">
        <w:rPr>
          <w:rFonts w:asciiTheme="minorBidi" w:hAnsiTheme="minorBidi"/>
          <w:sz w:val="24"/>
          <w:szCs w:val="24"/>
          <w:lang w:val="en-GB"/>
        </w:rPr>
        <w:t xml:space="preserve"> 60 credits are used, as this is most easily divisible in systems that use semester, trimester or quatrimester. </w:t>
      </w:r>
    </w:p>
    <w:p w14:paraId="09B1B67A" w14:textId="77777777" w:rsidR="008C0774" w:rsidRPr="00656114" w:rsidRDefault="008C0774" w:rsidP="00FE7367">
      <w:pPr>
        <w:autoSpaceDE w:val="0"/>
        <w:autoSpaceDN w:val="0"/>
        <w:adjustRightInd w:val="0"/>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Nominal Duration:</w:t>
      </w:r>
    </w:p>
    <w:p w14:paraId="01B2251D"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Higher education programs in terms of student workload expressed in ECTS credits:</w:t>
      </w:r>
    </w:p>
    <w:p w14:paraId="2A468541"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Bachelor: Typically include 180 - 240 ECTS credits</w:t>
      </w:r>
    </w:p>
    <w:p w14:paraId="6E72DF89"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lastRenderedPageBreak/>
        <w:t>Master: Typically include 90-120 ECTS credits, with a minimum of 60 credits at the level of the 2nd cycle</w:t>
      </w:r>
    </w:p>
    <w:p w14:paraId="56EDF369" w14:textId="77777777" w:rsidR="008C0774" w:rsidRPr="00656114" w:rsidRDefault="008C0774" w:rsidP="00FE7367">
      <w:pPr>
        <w:autoSpaceDE w:val="0"/>
        <w:autoSpaceDN w:val="0"/>
        <w:adjustRightInd w:val="0"/>
        <w:spacing w:line="276" w:lineRule="auto"/>
        <w:jc w:val="both"/>
        <w:rPr>
          <w:rFonts w:asciiTheme="minorBidi" w:hAnsiTheme="minorBidi"/>
          <w:sz w:val="24"/>
          <w:szCs w:val="24"/>
          <w:lang w:val="en-GB"/>
        </w:rPr>
      </w:pPr>
      <w:r w:rsidRPr="00656114">
        <w:rPr>
          <w:rFonts w:asciiTheme="minorBidi" w:hAnsiTheme="minorBidi"/>
          <w:sz w:val="24"/>
          <w:szCs w:val="24"/>
          <w:lang w:val="en-GB"/>
        </w:rPr>
        <w:t>Doctorate: Not specified</w:t>
      </w:r>
    </w:p>
    <w:p w14:paraId="453C2538" w14:textId="77777777" w:rsidR="008C0774" w:rsidRPr="00656114" w:rsidRDefault="008C0774" w:rsidP="00FE7367">
      <w:pPr>
        <w:autoSpaceDE w:val="0"/>
        <w:autoSpaceDN w:val="0"/>
        <w:adjustRightInd w:val="0"/>
        <w:spacing w:line="276" w:lineRule="auto"/>
        <w:jc w:val="both"/>
        <w:rPr>
          <w:rFonts w:asciiTheme="minorBidi" w:hAnsiTheme="minorBidi"/>
          <w:b/>
          <w:sz w:val="24"/>
          <w:szCs w:val="24"/>
          <w:lang w:val="en-GB"/>
        </w:rPr>
      </w:pPr>
      <w:r w:rsidRPr="00656114">
        <w:rPr>
          <w:rFonts w:asciiTheme="minorBidi" w:hAnsiTheme="minorBidi"/>
          <w:b/>
          <w:sz w:val="24"/>
          <w:szCs w:val="24"/>
          <w:lang w:val="en-GB"/>
        </w:rPr>
        <w:t>Purpose:</w:t>
      </w:r>
    </w:p>
    <w:p w14:paraId="2F6C9FC0"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shd w:val="clear" w:color="auto" w:fill="FAFAFA"/>
          <w:lang w:val="en-GB"/>
        </w:rPr>
        <w:t xml:space="preserve">ECTS is a credit system designed to make it easier for students to move between different countries and higher education institutions. Describing the degrees and units in terms of learning outcomes and student workload makes them more readable, transparent and comparable. </w:t>
      </w:r>
    </w:p>
    <w:p w14:paraId="31E7964D" w14:textId="6FE09D6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Besides the 28 EU members, the ECTS is used also in other countries of Europe and beyond. In total, it is implemented or in process of implementation in 4</w:t>
      </w:r>
      <w:r w:rsidR="00ED6487" w:rsidRPr="00656114">
        <w:rPr>
          <w:rFonts w:asciiTheme="minorBidi" w:hAnsiTheme="minorBidi"/>
          <w:sz w:val="24"/>
          <w:szCs w:val="24"/>
          <w:lang w:val="en-GB"/>
        </w:rPr>
        <w:t>8</w:t>
      </w:r>
      <w:r w:rsidRPr="00656114">
        <w:rPr>
          <w:rFonts w:asciiTheme="minorBidi" w:hAnsiTheme="minorBidi"/>
          <w:sz w:val="24"/>
          <w:szCs w:val="24"/>
          <w:lang w:val="en-GB"/>
        </w:rPr>
        <w:t xml:space="preserve"> countries.</w:t>
      </w:r>
    </w:p>
    <w:p w14:paraId="1C7DD5D3" w14:textId="77777777" w:rsidR="008C0774" w:rsidRPr="00656114" w:rsidRDefault="008C0774" w:rsidP="00FE7367">
      <w:pPr>
        <w:autoSpaceDE w:val="0"/>
        <w:autoSpaceDN w:val="0"/>
        <w:adjustRightInd w:val="0"/>
        <w:spacing w:line="276" w:lineRule="auto"/>
        <w:jc w:val="both"/>
        <w:rPr>
          <w:rFonts w:asciiTheme="minorBidi" w:hAnsiTheme="minorBidi"/>
          <w:sz w:val="24"/>
          <w:szCs w:val="24"/>
          <w:lang w:val="en-GB"/>
        </w:rPr>
      </w:pPr>
    </w:p>
    <w:p w14:paraId="2280CEEE" w14:textId="77777777" w:rsidR="008C0774" w:rsidRPr="00656114" w:rsidRDefault="008C0774" w:rsidP="00FE7367">
      <w:pPr>
        <w:autoSpaceDE w:val="0"/>
        <w:autoSpaceDN w:val="0"/>
        <w:adjustRightInd w:val="0"/>
        <w:spacing w:line="276" w:lineRule="auto"/>
        <w:jc w:val="both"/>
        <w:rPr>
          <w:rFonts w:asciiTheme="minorBidi" w:hAnsiTheme="minorBidi"/>
          <w:sz w:val="24"/>
          <w:szCs w:val="24"/>
          <w:lang w:val="en-GB"/>
        </w:rPr>
      </w:pPr>
    </w:p>
    <w:p w14:paraId="428F3AAE" w14:textId="77777777" w:rsidR="008C0774" w:rsidRPr="00656114" w:rsidRDefault="008C0774" w:rsidP="00FE7367">
      <w:pPr>
        <w:autoSpaceDE w:val="0"/>
        <w:autoSpaceDN w:val="0"/>
        <w:adjustRightInd w:val="0"/>
        <w:spacing w:line="276" w:lineRule="auto"/>
        <w:jc w:val="both"/>
        <w:rPr>
          <w:rFonts w:asciiTheme="minorBidi" w:hAnsiTheme="minorBidi"/>
          <w:b/>
          <w:sz w:val="24"/>
          <w:szCs w:val="24"/>
          <w:u w:val="single"/>
          <w:lang w:val="en-GB"/>
        </w:rPr>
      </w:pPr>
      <w:r w:rsidRPr="00656114">
        <w:rPr>
          <w:rFonts w:asciiTheme="minorBidi" w:hAnsiTheme="minorBidi"/>
          <w:b/>
          <w:sz w:val="24"/>
          <w:szCs w:val="24"/>
          <w:u w:val="single"/>
          <w:lang w:val="en-GB"/>
        </w:rPr>
        <w:t>Vocational education and training:</w:t>
      </w:r>
    </w:p>
    <w:p w14:paraId="066DBE7A"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Definition:</w:t>
      </w:r>
    </w:p>
    <w:p w14:paraId="3B30F18A"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ECVET – marks the relative importance of the units of learning outcomes for qualification. It was designed to fit the nature and characteristics of VET, taking in consideration a variety of learning activities (including practical experience, internships, work-based learning, etc.).</w:t>
      </w:r>
    </w:p>
    <w:p w14:paraId="5726CFC5"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Equation:</w:t>
      </w:r>
    </w:p>
    <w:p w14:paraId="06FDA897" w14:textId="10B145CC"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60 ECVET points are allocated to the learning outcomes expected to be achieved in 1 year of formal full time VET. </w:t>
      </w:r>
      <w:r w:rsidR="00131EFF" w:rsidRPr="00656114">
        <w:rPr>
          <w:rFonts w:asciiTheme="minorBidi" w:hAnsiTheme="minorBidi"/>
          <w:sz w:val="24"/>
          <w:szCs w:val="24"/>
          <w:lang w:val="en-GB"/>
        </w:rPr>
        <w:t>60 points are used, as this is most easily divisible in systems that use semester, trimester or quatrimester.</w:t>
      </w:r>
    </w:p>
    <w:p w14:paraId="4D05B82A"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Method:</w:t>
      </w:r>
    </w:p>
    <w:p w14:paraId="6F7713A6"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ECVET points are first allocated to the qualification as a whole and then to single units. To decide on the number of ECVET points allocated to a qualification, one formal learning program is chosen as a point of reference. On the basis of 60 points per year of formal full time VET, the total number of points is assigned to that qualification. It is up to the competent institutions in charge of designing qualifications to decide which specific program will be chosen as a point of reference. From this total, ECVET points are then allocated to each unit according to its relative importance within the qualification.</w:t>
      </w:r>
    </w:p>
    <w:p w14:paraId="2E8E3BAB"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lastRenderedPageBreak/>
        <w:t>Purpose:</w:t>
      </w:r>
    </w:p>
    <w:p w14:paraId="2193E1FE"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It is used in vocational education and training and non-formal learning. Assessed learning outcomes constitute credit. Credit is the basis for enabling the transfer between learning contexts and for the accumulation of learning outcomes. ECVET points are a numerical representation of the overall weight of learning outcomes in a qualification and of the relative weight of units in relation to the qualification. ECVET is based on the division of qualifications into units and on the description of these units in terms of expected learning outcomes (in form of knowledge, skills and competences). </w:t>
      </w:r>
    </w:p>
    <w:p w14:paraId="73E99C30" w14:textId="78BED9F5"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The adoption and implementation of ECVET in the participating countries is voluntary. The adoption of the Recommendation by the EU institutions in 2009 cataly</w:t>
      </w:r>
      <w:r w:rsidR="00ED6487" w:rsidRPr="00656114">
        <w:rPr>
          <w:rFonts w:asciiTheme="minorBidi" w:hAnsiTheme="minorBidi"/>
          <w:sz w:val="24"/>
          <w:szCs w:val="24"/>
          <w:lang w:val="en-GB"/>
        </w:rPr>
        <w:t>s</w:t>
      </w:r>
      <w:r w:rsidRPr="00656114">
        <w:rPr>
          <w:rFonts w:asciiTheme="minorBidi" w:hAnsiTheme="minorBidi"/>
          <w:sz w:val="24"/>
          <w:szCs w:val="24"/>
          <w:lang w:val="en-GB"/>
        </w:rPr>
        <w:t>ed the introduction of ECVET into the system of EU member states, this is 28 countries.     </w:t>
      </w:r>
    </w:p>
    <w:p w14:paraId="6419D58C"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  </w:t>
      </w:r>
    </w:p>
    <w:p w14:paraId="4E223C4B" w14:textId="77777777" w:rsidR="008C0774" w:rsidRPr="00656114" w:rsidRDefault="008C0774" w:rsidP="00FE7367">
      <w:pPr>
        <w:spacing w:line="276" w:lineRule="auto"/>
        <w:jc w:val="both"/>
        <w:rPr>
          <w:rFonts w:asciiTheme="minorBidi" w:hAnsiTheme="minorBidi"/>
          <w:b/>
          <w:bCs/>
          <w:sz w:val="24"/>
          <w:szCs w:val="24"/>
          <w:lang w:val="en-GB"/>
        </w:rPr>
      </w:pPr>
      <w:r w:rsidRPr="00656114">
        <w:rPr>
          <w:rFonts w:asciiTheme="minorBidi" w:hAnsiTheme="minorBidi"/>
          <w:b/>
          <w:bCs/>
          <w:sz w:val="24"/>
          <w:szCs w:val="24"/>
          <w:lang w:val="en-GB"/>
        </w:rPr>
        <w:t>ECTS and ECVET in Denmark</w:t>
      </w:r>
    </w:p>
    <w:p w14:paraId="126FDA52" w14:textId="4E036F4E"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According to the national reports, all Danish Universities and other higher education institutions implemented and actively use the ECTS system. Unlike ECTS, the ECVET implementation in Denmark is still in an </w:t>
      </w:r>
      <w:r w:rsidR="00ED6487" w:rsidRPr="00656114">
        <w:rPr>
          <w:rFonts w:asciiTheme="minorBidi" w:hAnsiTheme="minorBidi"/>
          <w:sz w:val="24"/>
          <w:szCs w:val="24"/>
          <w:lang w:val="en-GB"/>
        </w:rPr>
        <w:t>early</w:t>
      </w:r>
      <w:r w:rsidRPr="00656114">
        <w:rPr>
          <w:rFonts w:asciiTheme="minorBidi" w:hAnsiTheme="minorBidi"/>
          <w:sz w:val="24"/>
          <w:szCs w:val="24"/>
          <w:lang w:val="en-GB"/>
        </w:rPr>
        <w:t xml:space="preserve"> phase. The Danish Educational Trade Committees supported by the Ministry of Education are in the process of categori</w:t>
      </w:r>
      <w:r w:rsidR="00ED6487" w:rsidRPr="00656114">
        <w:rPr>
          <w:rFonts w:asciiTheme="minorBidi" w:hAnsiTheme="minorBidi"/>
          <w:sz w:val="24"/>
          <w:szCs w:val="24"/>
          <w:lang w:val="en-GB"/>
        </w:rPr>
        <w:t>s</w:t>
      </w:r>
      <w:r w:rsidRPr="00656114">
        <w:rPr>
          <w:rFonts w:asciiTheme="minorBidi" w:hAnsiTheme="minorBidi"/>
          <w:sz w:val="24"/>
          <w:szCs w:val="24"/>
          <w:lang w:val="en-GB"/>
        </w:rPr>
        <w:t>ing and grading the learning outcomes into the NQF template. Most likely the ECVET implementation will speed up when all the VET professions have finali</w:t>
      </w:r>
      <w:r w:rsidR="00ED6487" w:rsidRPr="00656114">
        <w:rPr>
          <w:rFonts w:asciiTheme="minorBidi" w:hAnsiTheme="minorBidi"/>
          <w:sz w:val="24"/>
          <w:szCs w:val="24"/>
          <w:lang w:val="en-GB"/>
        </w:rPr>
        <w:t>s</w:t>
      </w:r>
      <w:r w:rsidRPr="00656114">
        <w:rPr>
          <w:rFonts w:asciiTheme="minorBidi" w:hAnsiTheme="minorBidi"/>
          <w:sz w:val="24"/>
          <w:szCs w:val="24"/>
          <w:lang w:val="en-GB"/>
        </w:rPr>
        <w:t>ed the NQF categori</w:t>
      </w:r>
      <w:r w:rsidR="004C5BF3" w:rsidRPr="00656114">
        <w:rPr>
          <w:rFonts w:asciiTheme="minorBidi" w:hAnsiTheme="minorBidi"/>
          <w:sz w:val="24"/>
          <w:szCs w:val="24"/>
          <w:lang w:val="en-GB"/>
        </w:rPr>
        <w:t>s</w:t>
      </w:r>
      <w:r w:rsidRPr="00656114">
        <w:rPr>
          <w:rFonts w:asciiTheme="minorBidi" w:hAnsiTheme="minorBidi"/>
          <w:sz w:val="24"/>
          <w:szCs w:val="24"/>
          <w:lang w:val="en-GB"/>
        </w:rPr>
        <w:t>ation. Danish ECVET experiences have been achieved via participation in some of the EU ECVET pilot projects, especially in the field of cross-border internships and working practice.</w:t>
      </w:r>
    </w:p>
    <w:p w14:paraId="28481F7D" w14:textId="77777777" w:rsidR="008C0774" w:rsidRPr="00656114" w:rsidRDefault="008C0774" w:rsidP="00FE7367">
      <w:pPr>
        <w:spacing w:line="276" w:lineRule="auto"/>
        <w:jc w:val="both"/>
        <w:rPr>
          <w:rFonts w:asciiTheme="minorBidi" w:hAnsiTheme="minorBidi"/>
          <w:sz w:val="24"/>
          <w:szCs w:val="24"/>
          <w:lang w:val="en-GB"/>
        </w:rPr>
      </w:pPr>
    </w:p>
    <w:p w14:paraId="71ECC451" w14:textId="77777777" w:rsidR="008C0774" w:rsidRPr="00656114" w:rsidRDefault="008C0774" w:rsidP="00FE7367">
      <w:pPr>
        <w:autoSpaceDE w:val="0"/>
        <w:autoSpaceDN w:val="0"/>
        <w:adjustRightInd w:val="0"/>
        <w:spacing w:line="276" w:lineRule="auto"/>
        <w:jc w:val="both"/>
        <w:rPr>
          <w:rFonts w:asciiTheme="minorBidi" w:hAnsiTheme="minorBidi"/>
          <w:b/>
          <w:sz w:val="24"/>
          <w:szCs w:val="24"/>
          <w:lang w:val="en-GB"/>
        </w:rPr>
      </w:pPr>
      <w:r w:rsidRPr="00656114">
        <w:rPr>
          <w:rFonts w:asciiTheme="minorBidi" w:hAnsiTheme="minorBidi"/>
          <w:b/>
          <w:sz w:val="24"/>
          <w:szCs w:val="24"/>
          <w:lang w:val="en-GB"/>
        </w:rPr>
        <w:t>Conversion between ECTS and ECVET</w:t>
      </w:r>
    </w:p>
    <w:p w14:paraId="27079036"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Converting ECVET into ECTS and vice versa can be carried out through a matrix of learning activities and learning outcomes and a four-step procedure:</w:t>
      </w:r>
    </w:p>
    <w:p w14:paraId="68341EEA" w14:textId="77777777" w:rsidR="008C0774" w:rsidRPr="00656114" w:rsidRDefault="008C0774" w:rsidP="00FE7367">
      <w:pPr>
        <w:pStyle w:val="ListParagraph"/>
        <w:numPr>
          <w:ilvl w:val="0"/>
          <w:numId w:val="35"/>
        </w:numPr>
        <w:spacing w:after="0" w:line="276" w:lineRule="auto"/>
        <w:jc w:val="both"/>
        <w:rPr>
          <w:rFonts w:asciiTheme="minorBidi" w:hAnsiTheme="minorBidi"/>
          <w:sz w:val="24"/>
          <w:szCs w:val="24"/>
          <w:lang w:val="en-GB"/>
        </w:rPr>
      </w:pPr>
      <w:r w:rsidRPr="00656114">
        <w:rPr>
          <w:rFonts w:asciiTheme="minorBidi" w:hAnsiTheme="minorBidi"/>
          <w:sz w:val="24"/>
          <w:szCs w:val="24"/>
          <w:lang w:val="en-GB"/>
        </w:rPr>
        <w:t>Depict the qualification by filling in the grid with the single learning outcomes corresponding to the job profile and then grouping them into units.</w:t>
      </w:r>
    </w:p>
    <w:p w14:paraId="3292D2CC" w14:textId="77777777" w:rsidR="008C0774" w:rsidRPr="00656114" w:rsidRDefault="008C0774" w:rsidP="00FE7367">
      <w:pPr>
        <w:pStyle w:val="ListParagraph"/>
        <w:numPr>
          <w:ilvl w:val="0"/>
          <w:numId w:val="35"/>
        </w:numPr>
        <w:spacing w:after="0" w:line="276" w:lineRule="auto"/>
        <w:jc w:val="both"/>
        <w:rPr>
          <w:rFonts w:asciiTheme="minorBidi" w:hAnsiTheme="minorBidi"/>
          <w:sz w:val="24"/>
          <w:szCs w:val="24"/>
          <w:lang w:val="en-GB"/>
        </w:rPr>
      </w:pPr>
      <w:r w:rsidRPr="00656114">
        <w:rPr>
          <w:rFonts w:asciiTheme="minorBidi" w:hAnsiTheme="minorBidi"/>
          <w:sz w:val="24"/>
          <w:szCs w:val="24"/>
          <w:lang w:val="en-GB"/>
        </w:rPr>
        <w:t>Depict the qualification by filling in the grid with the associated learning activities.</w:t>
      </w:r>
    </w:p>
    <w:p w14:paraId="45ADA324" w14:textId="77777777" w:rsidR="008C0774" w:rsidRPr="00656114" w:rsidRDefault="008C0774" w:rsidP="00FE7367">
      <w:pPr>
        <w:pStyle w:val="ListParagraph"/>
        <w:numPr>
          <w:ilvl w:val="0"/>
          <w:numId w:val="35"/>
        </w:numPr>
        <w:spacing w:after="0" w:line="276" w:lineRule="auto"/>
        <w:jc w:val="both"/>
        <w:rPr>
          <w:rFonts w:asciiTheme="minorBidi" w:hAnsiTheme="minorBidi"/>
          <w:sz w:val="24"/>
          <w:szCs w:val="24"/>
          <w:lang w:val="en-GB"/>
        </w:rPr>
      </w:pPr>
      <w:r w:rsidRPr="00656114">
        <w:rPr>
          <w:rFonts w:asciiTheme="minorBidi" w:hAnsiTheme="minorBidi"/>
          <w:sz w:val="24"/>
          <w:szCs w:val="24"/>
          <w:lang w:val="en-GB"/>
        </w:rPr>
        <w:t>Cross which learning activities contribute to which learning outcomes in order to identify the overlapping of the training pathway and of the outputs of the qualifications expressed in learning outcomes.</w:t>
      </w:r>
    </w:p>
    <w:p w14:paraId="31587D69" w14:textId="77777777" w:rsidR="008C0774" w:rsidRPr="00656114" w:rsidRDefault="008C0774" w:rsidP="00FE7367">
      <w:pPr>
        <w:pStyle w:val="ListParagraph"/>
        <w:numPr>
          <w:ilvl w:val="0"/>
          <w:numId w:val="35"/>
        </w:numPr>
        <w:spacing w:after="0" w:line="276" w:lineRule="auto"/>
        <w:jc w:val="both"/>
        <w:rPr>
          <w:rFonts w:asciiTheme="minorBidi" w:hAnsiTheme="minorBidi"/>
          <w:sz w:val="24"/>
          <w:szCs w:val="24"/>
          <w:lang w:val="en-GB"/>
        </w:rPr>
      </w:pPr>
      <w:r w:rsidRPr="00656114">
        <w:rPr>
          <w:rFonts w:asciiTheme="minorBidi" w:hAnsiTheme="minorBidi"/>
          <w:sz w:val="24"/>
          <w:szCs w:val="24"/>
          <w:lang w:val="en-GB"/>
        </w:rPr>
        <w:lastRenderedPageBreak/>
        <w:t xml:space="preserve">Allocate the ECVET points to the units of learning outcomes respecting the ECVET specifications or allocate ECTS credit points to the learning activities, considering the workload or (in some cases) allocate both types of credits. </w:t>
      </w:r>
    </w:p>
    <w:p w14:paraId="2ACFFD1D" w14:textId="77777777" w:rsidR="008C0774" w:rsidRPr="00656114" w:rsidRDefault="008C0774" w:rsidP="00FE7367">
      <w:pPr>
        <w:spacing w:line="276" w:lineRule="auto"/>
        <w:jc w:val="both"/>
        <w:rPr>
          <w:rFonts w:asciiTheme="minorBidi" w:hAnsiTheme="minorBidi"/>
          <w:sz w:val="24"/>
          <w:szCs w:val="24"/>
          <w:lang w:val="en-GB"/>
        </w:rPr>
      </w:pPr>
    </w:p>
    <w:p w14:paraId="082DFE75" w14:textId="77777777" w:rsidR="008C0774" w:rsidRPr="00656114" w:rsidRDefault="008C0774" w:rsidP="00FE7367">
      <w:pPr>
        <w:spacing w:line="276" w:lineRule="auto"/>
        <w:jc w:val="both"/>
        <w:rPr>
          <w:rFonts w:asciiTheme="minorBidi" w:hAnsiTheme="minorBidi"/>
          <w:b/>
          <w:sz w:val="24"/>
          <w:szCs w:val="24"/>
          <w:lang w:val="en-GB"/>
        </w:rPr>
      </w:pPr>
      <w:r w:rsidRPr="00656114">
        <w:rPr>
          <w:rFonts w:asciiTheme="minorBidi" w:hAnsiTheme="minorBidi"/>
          <w:b/>
          <w:sz w:val="24"/>
          <w:szCs w:val="24"/>
          <w:lang w:val="en-GB"/>
        </w:rPr>
        <w:t>Further reading:</w:t>
      </w:r>
    </w:p>
    <w:p w14:paraId="3760697A" w14:textId="2AFCDF0F" w:rsidR="0019589E" w:rsidRPr="00656114" w:rsidRDefault="008C0774" w:rsidP="00FE7367">
      <w:pPr>
        <w:spacing w:line="276" w:lineRule="auto"/>
        <w:jc w:val="both"/>
        <w:rPr>
          <w:rStyle w:val="Hyperlink"/>
          <w:rFonts w:asciiTheme="minorBidi" w:hAnsiTheme="minorBidi"/>
          <w:sz w:val="24"/>
          <w:szCs w:val="24"/>
          <w:lang w:val="en-GB"/>
        </w:rPr>
      </w:pPr>
      <w:r w:rsidRPr="00656114">
        <w:rPr>
          <w:rFonts w:asciiTheme="minorBidi" w:hAnsiTheme="minorBidi"/>
          <w:sz w:val="24"/>
          <w:szCs w:val="24"/>
          <w:lang w:val="en-GB"/>
        </w:rPr>
        <w:t xml:space="preserve">ECVET website: </w:t>
      </w:r>
      <w:hyperlink r:id="rId9" w:history="1">
        <w:r w:rsidR="0019589E" w:rsidRPr="00656114">
          <w:rPr>
            <w:rStyle w:val="Hyperlink"/>
            <w:rFonts w:asciiTheme="minorBidi" w:hAnsiTheme="minorBidi"/>
            <w:sz w:val="24"/>
            <w:szCs w:val="24"/>
            <w:lang w:val="en-GB"/>
          </w:rPr>
          <w:t>http://www.ecvet-secretariat.eu/en/what-is-ecvet</w:t>
        </w:r>
      </w:hyperlink>
    </w:p>
    <w:p w14:paraId="53DEDA86" w14:textId="7480109A" w:rsidR="00ED6487"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E</w:t>
      </w:r>
      <w:r w:rsidR="00ED6487" w:rsidRPr="00656114">
        <w:rPr>
          <w:rFonts w:asciiTheme="minorBidi" w:hAnsiTheme="minorBidi"/>
          <w:sz w:val="24"/>
          <w:szCs w:val="24"/>
          <w:lang w:val="en-GB"/>
        </w:rPr>
        <w:t>CVET implementation in Malta (for further reference, including a conversion manual</w:t>
      </w:r>
      <w:r w:rsidR="00CB453E" w:rsidRPr="00656114">
        <w:rPr>
          <w:rFonts w:asciiTheme="minorBidi" w:hAnsiTheme="minorBidi"/>
          <w:sz w:val="24"/>
          <w:szCs w:val="24"/>
          <w:lang w:val="en-GB"/>
        </w:rPr>
        <w:t xml:space="preserve"> for qualifications into ECVET</w:t>
      </w:r>
      <w:r w:rsidR="00ED6487" w:rsidRPr="00656114">
        <w:rPr>
          <w:rFonts w:asciiTheme="minorBidi" w:hAnsiTheme="minorBidi"/>
          <w:sz w:val="24"/>
          <w:szCs w:val="24"/>
          <w:lang w:val="en-GB"/>
        </w:rPr>
        <w:t xml:space="preserve">): </w:t>
      </w:r>
      <w:hyperlink r:id="rId10" w:history="1">
        <w:r w:rsidR="00ED6487" w:rsidRPr="00656114">
          <w:rPr>
            <w:rStyle w:val="Hyperlink"/>
            <w:rFonts w:asciiTheme="minorBidi" w:hAnsiTheme="minorBidi"/>
            <w:sz w:val="24"/>
            <w:szCs w:val="24"/>
            <w:lang w:val="en-GB"/>
          </w:rPr>
          <w:t>https://ncfhe.gov.mt/en/Pages/Projects/ecvet.aspx</w:t>
        </w:r>
      </w:hyperlink>
      <w:r w:rsidR="00ED6487" w:rsidRPr="00656114">
        <w:rPr>
          <w:rFonts w:asciiTheme="minorBidi" w:hAnsiTheme="minorBidi"/>
          <w:sz w:val="24"/>
          <w:szCs w:val="24"/>
          <w:lang w:val="en-GB"/>
        </w:rPr>
        <w:t xml:space="preserve"> </w:t>
      </w:r>
    </w:p>
    <w:p w14:paraId="1DB0209C" w14:textId="6CEEED4B" w:rsidR="00ED6487" w:rsidRPr="00656114" w:rsidRDefault="000505D8" w:rsidP="00FE7367">
      <w:pPr>
        <w:spacing w:line="276" w:lineRule="auto"/>
        <w:jc w:val="both"/>
        <w:rPr>
          <w:rFonts w:asciiTheme="minorBidi" w:hAnsiTheme="minorBidi"/>
          <w:sz w:val="24"/>
          <w:szCs w:val="24"/>
          <w:lang w:val="en-GB"/>
        </w:rPr>
      </w:pPr>
      <w:hyperlink r:id="rId11" w:history="1">
        <w:r w:rsidR="00ED6487" w:rsidRPr="00656114">
          <w:rPr>
            <w:rStyle w:val="Hyperlink"/>
            <w:rFonts w:asciiTheme="minorBidi" w:hAnsiTheme="minorBidi"/>
            <w:sz w:val="24"/>
            <w:szCs w:val="24"/>
            <w:lang w:val="en-GB"/>
          </w:rPr>
          <w:t>http://www.ecvet-projects.eu/Documents/ECVET%20Conversion%20manual.pdf</w:t>
        </w:r>
      </w:hyperlink>
      <w:r w:rsidR="00ED6487" w:rsidRPr="00656114">
        <w:rPr>
          <w:rFonts w:asciiTheme="minorBidi" w:hAnsiTheme="minorBidi"/>
          <w:sz w:val="24"/>
          <w:szCs w:val="24"/>
          <w:lang w:val="en-GB"/>
        </w:rPr>
        <w:t xml:space="preserve"> </w:t>
      </w:r>
    </w:p>
    <w:p w14:paraId="52B24174" w14:textId="27722ED5" w:rsidR="008C0774" w:rsidRPr="00656114" w:rsidRDefault="00ED6487" w:rsidP="00FE7367">
      <w:pPr>
        <w:spacing w:line="276" w:lineRule="auto"/>
        <w:jc w:val="both"/>
        <w:rPr>
          <w:rFonts w:asciiTheme="minorBidi" w:hAnsiTheme="minorBidi"/>
          <w:color w:val="0563C1" w:themeColor="hyperlink"/>
          <w:sz w:val="24"/>
          <w:szCs w:val="24"/>
          <w:u w:val="single"/>
          <w:lang w:val="en-GB"/>
        </w:rPr>
      </w:pPr>
      <w:r w:rsidRPr="00656114">
        <w:rPr>
          <w:rFonts w:asciiTheme="minorBidi" w:hAnsiTheme="minorBidi"/>
          <w:sz w:val="24"/>
          <w:szCs w:val="24"/>
          <w:lang w:val="en-GB"/>
        </w:rPr>
        <w:t>E</w:t>
      </w:r>
      <w:r w:rsidR="008C0774" w:rsidRPr="00656114">
        <w:rPr>
          <w:rFonts w:asciiTheme="minorBidi" w:hAnsiTheme="minorBidi"/>
          <w:sz w:val="24"/>
          <w:szCs w:val="24"/>
          <w:lang w:val="en-GB"/>
        </w:rPr>
        <w:t xml:space="preserve">CTS Users' Guide: </w:t>
      </w:r>
      <w:r w:rsidR="008C0774" w:rsidRPr="00656114">
        <w:rPr>
          <w:rStyle w:val="Hyperlink"/>
          <w:rFonts w:asciiTheme="minorBidi" w:hAnsiTheme="minorBidi"/>
          <w:sz w:val="24"/>
          <w:szCs w:val="24"/>
          <w:lang w:val="en-GB"/>
        </w:rPr>
        <w:t>https://ec.europa.eu/education/resources-and-tools/document-library/ects-users-guide_en</w:t>
      </w:r>
    </w:p>
    <w:p w14:paraId="78778BA3" w14:textId="77777777" w:rsidR="008C0774" w:rsidRPr="00656114" w:rsidRDefault="008C0774" w:rsidP="00FE7367">
      <w:pPr>
        <w:shd w:val="clear" w:color="auto" w:fill="FFFFFF"/>
        <w:spacing w:line="276" w:lineRule="auto"/>
        <w:jc w:val="both"/>
        <w:rPr>
          <w:rFonts w:asciiTheme="minorBidi" w:eastAsia="Times New Roman" w:hAnsiTheme="minorBidi"/>
          <w:b/>
          <w:bCs/>
          <w:color w:val="222222"/>
          <w:sz w:val="24"/>
          <w:szCs w:val="24"/>
          <w:lang w:val="en-GB" w:eastAsia="sl-SI"/>
        </w:rPr>
      </w:pPr>
    </w:p>
    <w:p w14:paraId="1D34EAFF" w14:textId="7FE7592A" w:rsidR="008C0774" w:rsidRPr="00656114" w:rsidRDefault="008C0774" w:rsidP="00FE7367">
      <w:pPr>
        <w:shd w:val="clear" w:color="auto" w:fill="FFFFFF"/>
        <w:spacing w:line="276" w:lineRule="auto"/>
        <w:jc w:val="both"/>
        <w:rPr>
          <w:rFonts w:asciiTheme="minorBidi" w:eastAsia="Times New Roman" w:hAnsiTheme="minorBidi"/>
          <w:b/>
          <w:bCs/>
          <w:color w:val="222222"/>
          <w:sz w:val="24"/>
          <w:szCs w:val="24"/>
          <w:lang w:val="en-GB" w:eastAsia="sl-SI"/>
        </w:rPr>
      </w:pPr>
    </w:p>
    <w:p w14:paraId="695496CB" w14:textId="7EA3DBBD" w:rsidR="00F04782" w:rsidRPr="00656114" w:rsidRDefault="00F04782" w:rsidP="00FE7367">
      <w:pPr>
        <w:shd w:val="clear" w:color="auto" w:fill="FFFFFF"/>
        <w:spacing w:line="276" w:lineRule="auto"/>
        <w:jc w:val="both"/>
        <w:rPr>
          <w:rFonts w:asciiTheme="minorBidi" w:eastAsia="Times New Roman" w:hAnsiTheme="minorBidi"/>
          <w:b/>
          <w:bCs/>
          <w:color w:val="222222"/>
          <w:sz w:val="24"/>
          <w:szCs w:val="24"/>
          <w:lang w:val="en-GB" w:eastAsia="sl-SI"/>
        </w:rPr>
      </w:pPr>
    </w:p>
    <w:p w14:paraId="6F31EC5A" w14:textId="77777777" w:rsidR="00F04782" w:rsidRPr="00656114" w:rsidRDefault="00F04782" w:rsidP="00FE7367">
      <w:pPr>
        <w:shd w:val="clear" w:color="auto" w:fill="FFFFFF"/>
        <w:spacing w:line="276" w:lineRule="auto"/>
        <w:jc w:val="both"/>
        <w:rPr>
          <w:rFonts w:asciiTheme="minorBidi" w:eastAsia="Times New Roman" w:hAnsiTheme="minorBidi"/>
          <w:b/>
          <w:bCs/>
          <w:color w:val="222222"/>
          <w:sz w:val="24"/>
          <w:szCs w:val="24"/>
          <w:lang w:val="en-GB" w:eastAsia="sl-SI"/>
        </w:rPr>
      </w:pPr>
    </w:p>
    <w:p w14:paraId="793FDF40" w14:textId="77777777" w:rsidR="008C0774" w:rsidRPr="00656114" w:rsidRDefault="008C0774" w:rsidP="00FE7367">
      <w:pPr>
        <w:pStyle w:val="Heading2"/>
        <w:spacing w:line="276" w:lineRule="auto"/>
        <w:jc w:val="both"/>
        <w:rPr>
          <w:rFonts w:asciiTheme="minorBidi" w:hAnsiTheme="minorBidi" w:cstheme="minorBidi"/>
          <w:color w:val="000000" w:themeColor="text1"/>
          <w:sz w:val="24"/>
          <w:szCs w:val="24"/>
          <w:lang w:val="en-GB"/>
        </w:rPr>
      </w:pPr>
      <w:bookmarkStart w:id="10" w:name="_Toc477942907"/>
      <w:r w:rsidRPr="00656114">
        <w:rPr>
          <w:rFonts w:asciiTheme="minorBidi" w:hAnsiTheme="minorBidi" w:cstheme="minorBidi"/>
          <w:color w:val="000000" w:themeColor="text1"/>
          <w:sz w:val="24"/>
          <w:szCs w:val="24"/>
          <w:lang w:val="en-GB"/>
        </w:rPr>
        <w:t>Summary of the Comparison</w:t>
      </w:r>
      <w:bookmarkEnd w:id="10"/>
    </w:p>
    <w:tbl>
      <w:tblPr>
        <w:tblStyle w:val="GridTable2-Accent5"/>
        <w:tblW w:w="0" w:type="auto"/>
        <w:tblLook w:val="04A0" w:firstRow="1" w:lastRow="0" w:firstColumn="1" w:lastColumn="0" w:noHBand="0" w:noVBand="1"/>
      </w:tblPr>
      <w:tblGrid>
        <w:gridCol w:w="2251"/>
        <w:gridCol w:w="2260"/>
        <w:gridCol w:w="2257"/>
        <w:gridCol w:w="2258"/>
      </w:tblGrid>
      <w:tr w:rsidR="00FE7367" w:rsidRPr="00656114" w14:paraId="6E118402" w14:textId="77777777" w:rsidTr="00CB4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2649882" w14:textId="77777777" w:rsidR="008C0774" w:rsidRPr="00656114" w:rsidRDefault="008C0774" w:rsidP="00FE7367">
            <w:pPr>
              <w:spacing w:line="276" w:lineRule="auto"/>
              <w:jc w:val="both"/>
              <w:rPr>
                <w:rFonts w:asciiTheme="minorBidi" w:hAnsiTheme="minorBidi"/>
                <w:b w:val="0"/>
                <w:color w:val="000000" w:themeColor="text1"/>
                <w:sz w:val="20"/>
                <w:szCs w:val="20"/>
                <w:lang w:val="en-GB"/>
              </w:rPr>
            </w:pPr>
            <w:r w:rsidRPr="00656114">
              <w:rPr>
                <w:rFonts w:asciiTheme="minorBidi" w:hAnsiTheme="minorBidi"/>
                <w:b w:val="0"/>
                <w:color w:val="000000" w:themeColor="text1"/>
                <w:sz w:val="20"/>
                <w:szCs w:val="20"/>
                <w:lang w:val="en-GB"/>
              </w:rPr>
              <w:t>Country</w:t>
            </w:r>
          </w:p>
        </w:tc>
        <w:tc>
          <w:tcPr>
            <w:tcW w:w="2265" w:type="dxa"/>
          </w:tcPr>
          <w:p w14:paraId="083B6941" w14:textId="77777777" w:rsidR="008C0774" w:rsidRPr="00656114" w:rsidRDefault="008C0774" w:rsidP="00FE736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t>Type of system</w:t>
            </w:r>
          </w:p>
        </w:tc>
        <w:tc>
          <w:tcPr>
            <w:tcW w:w="2266" w:type="dxa"/>
          </w:tcPr>
          <w:p w14:paraId="6A4194AA" w14:textId="77777777" w:rsidR="008C0774" w:rsidRPr="00656114" w:rsidRDefault="008C0774" w:rsidP="00FE736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t>Formula</w:t>
            </w:r>
          </w:p>
        </w:tc>
        <w:tc>
          <w:tcPr>
            <w:tcW w:w="2266" w:type="dxa"/>
          </w:tcPr>
          <w:p w14:paraId="70F1247B" w14:textId="77777777" w:rsidR="008C0774" w:rsidRPr="00656114" w:rsidRDefault="008C0774" w:rsidP="00FE736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t>Sector</w:t>
            </w:r>
          </w:p>
        </w:tc>
      </w:tr>
      <w:tr w:rsidR="008C0774" w:rsidRPr="00656114" w14:paraId="0786BFB3" w14:textId="77777777" w:rsidTr="00CB4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1022E59" w14:textId="77777777" w:rsidR="008C0774" w:rsidRPr="00656114" w:rsidRDefault="008C0774" w:rsidP="00FE7367">
            <w:pPr>
              <w:spacing w:line="276" w:lineRule="auto"/>
              <w:jc w:val="both"/>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t>United Arab Emirates</w:t>
            </w:r>
          </w:p>
        </w:tc>
        <w:tc>
          <w:tcPr>
            <w:tcW w:w="2265" w:type="dxa"/>
          </w:tcPr>
          <w:p w14:paraId="3BB8DC48"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Mainly input based</w:t>
            </w:r>
            <w:r w:rsidRPr="00656114">
              <w:rPr>
                <w:rStyle w:val="FootnoteReference"/>
                <w:rFonts w:asciiTheme="minorBidi" w:hAnsiTheme="minorBidi"/>
                <w:sz w:val="20"/>
                <w:szCs w:val="20"/>
                <w:lang w:val="en-GB"/>
              </w:rPr>
              <w:footnoteReference w:id="2"/>
            </w:r>
            <w:r w:rsidRPr="00656114">
              <w:rPr>
                <w:rFonts w:asciiTheme="minorBidi" w:hAnsiTheme="minorBidi"/>
                <w:sz w:val="20"/>
                <w:szCs w:val="20"/>
                <w:lang w:val="en-GB"/>
              </w:rPr>
              <w:t xml:space="preserve">. A credit value is the numerical value relating to the notional hours accorded to a credit. Typically, the value relates to a notional quantum of hours per credit. </w:t>
            </w:r>
          </w:p>
        </w:tc>
        <w:tc>
          <w:tcPr>
            <w:tcW w:w="2266" w:type="dxa"/>
          </w:tcPr>
          <w:p w14:paraId="3DE788BA"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 xml:space="preserve">1 credit value = a notional value of 15 hours (with additional study hours)  </w:t>
            </w:r>
          </w:p>
        </w:tc>
        <w:tc>
          <w:tcPr>
            <w:tcW w:w="2266" w:type="dxa"/>
          </w:tcPr>
          <w:p w14:paraId="767527DA"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The Indicative Qualifications Credit Matrix, defined for convenience in a credit matrix applies to qualifications used in the Higher Education (HE) and Vocational Education and Training (VET) sectors</w:t>
            </w:r>
          </w:p>
        </w:tc>
      </w:tr>
      <w:tr w:rsidR="008C0774" w:rsidRPr="00656114" w14:paraId="739F6967" w14:textId="77777777" w:rsidTr="00CB453E">
        <w:tc>
          <w:tcPr>
            <w:cnfStyle w:val="001000000000" w:firstRow="0" w:lastRow="0" w:firstColumn="1" w:lastColumn="0" w:oddVBand="0" w:evenVBand="0" w:oddHBand="0" w:evenHBand="0" w:firstRowFirstColumn="0" w:firstRowLastColumn="0" w:lastRowFirstColumn="0" w:lastRowLastColumn="0"/>
            <w:tcW w:w="2265" w:type="dxa"/>
          </w:tcPr>
          <w:p w14:paraId="5774DFE9" w14:textId="77777777" w:rsidR="008C0774" w:rsidRPr="00656114" w:rsidRDefault="008C0774" w:rsidP="00FE7367">
            <w:pPr>
              <w:spacing w:line="276" w:lineRule="auto"/>
              <w:jc w:val="both"/>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t>Malaysia</w:t>
            </w:r>
          </w:p>
        </w:tc>
        <w:tc>
          <w:tcPr>
            <w:tcW w:w="2265" w:type="dxa"/>
          </w:tcPr>
          <w:p w14:paraId="39BEDC1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Learner centric, measuring the volume of learning or academic load to attain the set of learning outcomes</w:t>
            </w:r>
          </w:p>
        </w:tc>
        <w:tc>
          <w:tcPr>
            <w:tcW w:w="2266" w:type="dxa"/>
          </w:tcPr>
          <w:p w14:paraId="6A0E2E2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1 credit = 40 hours of notional learning time</w:t>
            </w:r>
          </w:p>
          <w:p w14:paraId="3D0D792B"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p>
        </w:tc>
        <w:tc>
          <w:tcPr>
            <w:tcW w:w="2266" w:type="dxa"/>
          </w:tcPr>
          <w:p w14:paraId="48EE28C8"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 xml:space="preserve">The credit system is developed for universities, colleges, polytechnics and community colleges, </w:t>
            </w:r>
            <w:r w:rsidRPr="00656114">
              <w:rPr>
                <w:rFonts w:asciiTheme="minorBidi" w:hAnsiTheme="minorBidi"/>
                <w:sz w:val="20"/>
                <w:szCs w:val="20"/>
                <w:lang w:val="en-GB"/>
              </w:rPr>
              <w:lastRenderedPageBreak/>
              <w:t>part time and full time study, public and private sectors, e-learning and non-formal learning</w:t>
            </w:r>
          </w:p>
        </w:tc>
      </w:tr>
      <w:tr w:rsidR="008C0774" w:rsidRPr="00656114" w14:paraId="5BA744C1" w14:textId="77777777" w:rsidTr="00CB4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59B9213" w14:textId="07008D24" w:rsidR="008C0774" w:rsidRPr="00656114" w:rsidRDefault="008C0774" w:rsidP="00FE7367">
            <w:pPr>
              <w:spacing w:line="276" w:lineRule="auto"/>
              <w:jc w:val="both"/>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lastRenderedPageBreak/>
              <w:t xml:space="preserve">South Africa </w:t>
            </w:r>
          </w:p>
        </w:tc>
        <w:tc>
          <w:tcPr>
            <w:tcW w:w="2265" w:type="dxa"/>
          </w:tcPr>
          <w:p w14:paraId="7C3FADE7"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Learner centric, measuring the volume of learning required for a qualification or part-qualification, quantified as the number of notional learning hours required for achieving the learning outcomes</w:t>
            </w:r>
          </w:p>
        </w:tc>
        <w:tc>
          <w:tcPr>
            <w:tcW w:w="2266" w:type="dxa"/>
          </w:tcPr>
          <w:p w14:paraId="31FF704E"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 xml:space="preserve">1 credit = 10 notional hours of learning. </w:t>
            </w:r>
          </w:p>
          <w:p w14:paraId="2F841DB4"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p>
        </w:tc>
        <w:tc>
          <w:tcPr>
            <w:tcW w:w="2266" w:type="dxa"/>
          </w:tcPr>
          <w:p w14:paraId="7A745329"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The credit accumulation and transfer system applies to the whole range of qualifications registered on the NQF and managed by the NQF authority (SAQA), Including higher education, general and further education and occupational qualifications</w:t>
            </w:r>
          </w:p>
        </w:tc>
      </w:tr>
      <w:tr w:rsidR="008C0774" w:rsidRPr="00656114" w14:paraId="7498FEAF" w14:textId="77777777" w:rsidTr="00CB453E">
        <w:tc>
          <w:tcPr>
            <w:cnfStyle w:val="001000000000" w:firstRow="0" w:lastRow="0" w:firstColumn="1" w:lastColumn="0" w:oddVBand="0" w:evenVBand="0" w:oddHBand="0" w:evenHBand="0" w:firstRowFirstColumn="0" w:firstRowLastColumn="0" w:lastRowFirstColumn="0" w:lastRowLastColumn="0"/>
            <w:tcW w:w="2265" w:type="dxa"/>
          </w:tcPr>
          <w:p w14:paraId="3B057981" w14:textId="77777777" w:rsidR="008C0774" w:rsidRPr="00656114" w:rsidRDefault="008C0774" w:rsidP="00FE7367">
            <w:pPr>
              <w:spacing w:line="276" w:lineRule="auto"/>
              <w:jc w:val="both"/>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t>Bahrain</w:t>
            </w:r>
          </w:p>
        </w:tc>
        <w:tc>
          <w:tcPr>
            <w:tcW w:w="2265" w:type="dxa"/>
          </w:tcPr>
          <w:p w14:paraId="5C131816"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Learner centric</w:t>
            </w:r>
            <w:r w:rsidRPr="00656114">
              <w:rPr>
                <w:rStyle w:val="FootnoteReference"/>
                <w:rFonts w:asciiTheme="minorBidi" w:hAnsiTheme="minorBidi"/>
                <w:sz w:val="20"/>
                <w:szCs w:val="20"/>
                <w:lang w:val="en-GB"/>
              </w:rPr>
              <w:footnoteReference w:id="3"/>
            </w:r>
            <w:r w:rsidRPr="00656114">
              <w:rPr>
                <w:rFonts w:asciiTheme="minorBidi" w:hAnsiTheme="minorBidi"/>
                <w:sz w:val="20"/>
                <w:szCs w:val="20"/>
                <w:lang w:val="en-GB"/>
              </w:rPr>
              <w:t xml:space="preserve">, notional learning hours - all types of learning activities that contribute to the achievement of learning outcomes </w:t>
            </w:r>
          </w:p>
        </w:tc>
        <w:tc>
          <w:tcPr>
            <w:tcW w:w="2266" w:type="dxa"/>
          </w:tcPr>
          <w:p w14:paraId="638FF61B"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1 credit = 10 notional learning hours</w:t>
            </w:r>
          </w:p>
        </w:tc>
        <w:tc>
          <w:tcPr>
            <w:tcW w:w="2266" w:type="dxa"/>
          </w:tcPr>
          <w:p w14:paraId="24E15C27" w14:textId="342A017C"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One organi</w:t>
            </w:r>
            <w:r w:rsidR="004C5BF3" w:rsidRPr="00656114">
              <w:rPr>
                <w:rFonts w:asciiTheme="minorBidi" w:hAnsiTheme="minorBidi"/>
                <w:sz w:val="20"/>
                <w:szCs w:val="20"/>
                <w:lang w:val="en-GB"/>
              </w:rPr>
              <w:t>s</w:t>
            </w:r>
            <w:r w:rsidRPr="00656114">
              <w:rPr>
                <w:rFonts w:asciiTheme="minorBidi" w:hAnsiTheme="minorBidi"/>
                <w:sz w:val="20"/>
                <w:szCs w:val="20"/>
                <w:lang w:val="en-GB"/>
              </w:rPr>
              <w:t>ation (QQA) is mandated for all sectors: higher education, vocational education and training and schools. It is however not clear if the credit system is already in place in all three sectors.</w:t>
            </w:r>
          </w:p>
        </w:tc>
      </w:tr>
      <w:tr w:rsidR="008C0774" w:rsidRPr="00656114" w14:paraId="2E50D5E1" w14:textId="77777777" w:rsidTr="00CB4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C6F7A75" w14:textId="77777777" w:rsidR="008C0774" w:rsidRPr="00656114" w:rsidRDefault="008C0774" w:rsidP="00FE7367">
            <w:pPr>
              <w:spacing w:line="276" w:lineRule="auto"/>
              <w:jc w:val="both"/>
              <w:rPr>
                <w:rFonts w:asciiTheme="minorBidi" w:hAnsiTheme="minorBidi"/>
                <w:b w:val="0"/>
                <w:bCs w:val="0"/>
                <w:color w:val="000000" w:themeColor="text1"/>
                <w:sz w:val="20"/>
                <w:szCs w:val="20"/>
                <w:lang w:val="en-GB"/>
              </w:rPr>
            </w:pPr>
            <w:r w:rsidRPr="00656114">
              <w:rPr>
                <w:rFonts w:asciiTheme="minorBidi" w:hAnsiTheme="minorBidi"/>
                <w:b w:val="0"/>
                <w:bCs w:val="0"/>
                <w:color w:val="000000" w:themeColor="text1"/>
                <w:sz w:val="20"/>
                <w:szCs w:val="20"/>
                <w:lang w:val="en-GB"/>
              </w:rPr>
              <w:t>Denmark</w:t>
            </w:r>
          </w:p>
        </w:tc>
        <w:tc>
          <w:tcPr>
            <w:tcW w:w="2265" w:type="dxa"/>
          </w:tcPr>
          <w:p w14:paraId="4BB9B026" w14:textId="5369BA62"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Learner centric, standardi</w:t>
            </w:r>
            <w:r w:rsidR="004C5BF3" w:rsidRPr="00656114">
              <w:rPr>
                <w:rFonts w:asciiTheme="minorBidi" w:hAnsiTheme="minorBidi"/>
                <w:sz w:val="20"/>
                <w:szCs w:val="20"/>
                <w:lang w:val="en-GB"/>
              </w:rPr>
              <w:t>s</w:t>
            </w:r>
            <w:r w:rsidRPr="00656114">
              <w:rPr>
                <w:rFonts w:asciiTheme="minorBidi" w:hAnsiTheme="minorBidi"/>
                <w:sz w:val="20"/>
                <w:szCs w:val="20"/>
                <w:lang w:val="en-GB"/>
              </w:rPr>
              <w:t>ed with the recommendations of the European Higher Education Area into ECTS system - measuring student workload</w:t>
            </w:r>
          </w:p>
        </w:tc>
        <w:tc>
          <w:tcPr>
            <w:tcW w:w="2266" w:type="dxa"/>
          </w:tcPr>
          <w:p w14:paraId="2DA76CE2"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1 ECTS credit = (corresponds) to 25 to 30 hours of work</w:t>
            </w:r>
          </w:p>
        </w:tc>
        <w:tc>
          <w:tcPr>
            <w:tcW w:w="2266" w:type="dxa"/>
          </w:tcPr>
          <w:p w14:paraId="0B08F418"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Higher education adopted the ECTS system</w:t>
            </w:r>
          </w:p>
          <w:p w14:paraId="7188F5F6"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56114">
              <w:rPr>
                <w:rFonts w:asciiTheme="minorBidi" w:hAnsiTheme="minorBidi"/>
                <w:sz w:val="20"/>
                <w:szCs w:val="20"/>
                <w:lang w:val="en-GB"/>
              </w:rPr>
              <w:t xml:space="preserve">VET is experimentally implementing ECVET (60 ECVET points are allocated to the learning outcomes expected to be achieved in 1 year of formal full time VET) </w:t>
            </w:r>
          </w:p>
        </w:tc>
      </w:tr>
    </w:tbl>
    <w:p w14:paraId="6E29E7C9" w14:textId="77777777" w:rsidR="008C0774" w:rsidRPr="00656114" w:rsidRDefault="008C0774" w:rsidP="00FE7367">
      <w:pPr>
        <w:spacing w:line="276" w:lineRule="auto"/>
        <w:jc w:val="both"/>
        <w:rPr>
          <w:rFonts w:asciiTheme="minorBidi" w:hAnsiTheme="minorBidi"/>
          <w:sz w:val="24"/>
          <w:szCs w:val="24"/>
          <w:lang w:val="en-GB"/>
        </w:rPr>
      </w:pPr>
    </w:p>
    <w:p w14:paraId="58ADFC0F" w14:textId="77777777" w:rsidR="008C0774" w:rsidRPr="00656114" w:rsidRDefault="008C0774" w:rsidP="00FE7367">
      <w:pPr>
        <w:spacing w:line="276" w:lineRule="auto"/>
        <w:jc w:val="both"/>
        <w:rPr>
          <w:rFonts w:asciiTheme="minorBidi" w:hAnsiTheme="minorBidi"/>
          <w:sz w:val="24"/>
          <w:szCs w:val="24"/>
          <w:lang w:val="en-GB"/>
        </w:rPr>
      </w:pPr>
    </w:p>
    <w:p w14:paraId="25ABB6F9" w14:textId="765AC369" w:rsidR="008C0774" w:rsidRPr="00656114" w:rsidRDefault="008C0774" w:rsidP="00FE7367">
      <w:pPr>
        <w:pStyle w:val="Heading2"/>
        <w:spacing w:line="276" w:lineRule="auto"/>
        <w:jc w:val="both"/>
        <w:rPr>
          <w:rFonts w:asciiTheme="minorBidi" w:eastAsia="Times New Roman" w:hAnsiTheme="minorBidi" w:cstheme="minorBidi"/>
          <w:b/>
          <w:bCs/>
          <w:color w:val="000000" w:themeColor="text1"/>
          <w:sz w:val="24"/>
          <w:szCs w:val="24"/>
          <w:lang w:val="en-GB" w:eastAsia="sl-SI"/>
        </w:rPr>
      </w:pPr>
      <w:bookmarkStart w:id="11" w:name="_Toc477942908"/>
      <w:r w:rsidRPr="00656114">
        <w:rPr>
          <w:rFonts w:asciiTheme="minorBidi" w:eastAsia="Times New Roman" w:hAnsiTheme="minorBidi" w:cstheme="minorBidi"/>
          <w:b/>
          <w:bCs/>
          <w:color w:val="000000" w:themeColor="text1"/>
          <w:sz w:val="24"/>
          <w:szCs w:val="24"/>
          <w:lang w:val="en-GB" w:eastAsia="sl-SI"/>
        </w:rPr>
        <w:t>Recommendation</w:t>
      </w:r>
      <w:bookmarkEnd w:id="11"/>
      <w:r w:rsidR="00C3310E" w:rsidRPr="00656114">
        <w:rPr>
          <w:rFonts w:asciiTheme="minorBidi" w:eastAsia="Times New Roman" w:hAnsiTheme="minorBidi" w:cstheme="minorBidi"/>
          <w:b/>
          <w:bCs/>
          <w:color w:val="000000" w:themeColor="text1"/>
          <w:sz w:val="24"/>
          <w:szCs w:val="24"/>
          <w:lang w:val="en-GB" w:eastAsia="sl-SI"/>
        </w:rPr>
        <w:t>s</w:t>
      </w:r>
    </w:p>
    <w:p w14:paraId="0FC0942D" w14:textId="087602CD"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The </w:t>
      </w:r>
      <w:r w:rsidR="00CB453E" w:rsidRPr="00656114">
        <w:rPr>
          <w:rFonts w:asciiTheme="minorBidi" w:hAnsiTheme="minorBidi"/>
          <w:sz w:val="24"/>
          <w:szCs w:val="24"/>
          <w:lang w:val="en-GB"/>
        </w:rPr>
        <w:t>NQFJ</w:t>
      </w:r>
      <w:r w:rsidRPr="00656114">
        <w:rPr>
          <w:rFonts w:asciiTheme="minorBidi" w:hAnsiTheme="minorBidi"/>
          <w:sz w:val="24"/>
          <w:szCs w:val="24"/>
          <w:lang w:val="en-GB"/>
        </w:rPr>
        <w:t xml:space="preserve"> learning credit system should be based on learning outcomes and on student-centric approach to education and training</w:t>
      </w:r>
      <w:r w:rsidR="00CB453E" w:rsidRPr="00656114">
        <w:rPr>
          <w:rFonts w:asciiTheme="minorBidi" w:hAnsiTheme="minorBidi"/>
          <w:sz w:val="24"/>
          <w:szCs w:val="24"/>
          <w:lang w:val="en-GB"/>
        </w:rPr>
        <w:t xml:space="preserve"> </w:t>
      </w:r>
      <w:r w:rsidR="00C3310E" w:rsidRPr="00656114">
        <w:rPr>
          <w:rFonts w:asciiTheme="minorBidi" w:hAnsiTheme="minorBidi"/>
          <w:sz w:val="24"/>
          <w:szCs w:val="24"/>
          <w:lang w:val="en-GB"/>
        </w:rPr>
        <w:t xml:space="preserve">in </w:t>
      </w:r>
      <w:r w:rsidR="00CB453E" w:rsidRPr="00656114">
        <w:rPr>
          <w:rFonts w:asciiTheme="minorBidi" w:hAnsiTheme="minorBidi"/>
          <w:sz w:val="24"/>
          <w:szCs w:val="24"/>
          <w:lang w:val="en-GB"/>
        </w:rPr>
        <w:t>align</w:t>
      </w:r>
      <w:r w:rsidR="00C3310E" w:rsidRPr="00656114">
        <w:rPr>
          <w:rFonts w:asciiTheme="minorBidi" w:hAnsiTheme="minorBidi"/>
          <w:sz w:val="24"/>
          <w:szCs w:val="24"/>
          <w:lang w:val="en-GB"/>
        </w:rPr>
        <w:t>ment</w:t>
      </w:r>
      <w:r w:rsidR="00CB453E" w:rsidRPr="00656114">
        <w:rPr>
          <w:rFonts w:asciiTheme="minorBidi" w:hAnsiTheme="minorBidi"/>
          <w:sz w:val="24"/>
          <w:szCs w:val="24"/>
          <w:lang w:val="en-GB"/>
        </w:rPr>
        <w:t xml:space="preserve"> with a modern and learner-oriented approach to education and training</w:t>
      </w:r>
      <w:r w:rsidRPr="00656114">
        <w:rPr>
          <w:rFonts w:asciiTheme="minorBidi" w:hAnsiTheme="minorBidi"/>
          <w:sz w:val="24"/>
          <w:szCs w:val="24"/>
          <w:lang w:val="en-GB"/>
        </w:rPr>
        <w:t>. The following procedure for attributing learning credit is recommended:</w:t>
      </w:r>
    </w:p>
    <w:p w14:paraId="6A0135E5" w14:textId="77777777" w:rsidR="008C0774" w:rsidRPr="00656114" w:rsidRDefault="008C0774" w:rsidP="00FE7367">
      <w:pPr>
        <w:spacing w:line="276" w:lineRule="auto"/>
        <w:jc w:val="both"/>
        <w:rPr>
          <w:rFonts w:asciiTheme="minorBidi" w:hAnsiTheme="minorBidi"/>
          <w:sz w:val="24"/>
          <w:szCs w:val="24"/>
          <w:lang w:val="en-GB"/>
        </w:rPr>
      </w:pPr>
    </w:p>
    <w:p w14:paraId="4B7D9132" w14:textId="77777777" w:rsidR="008C0774" w:rsidRPr="00656114" w:rsidRDefault="008C0774" w:rsidP="00FE7367">
      <w:pPr>
        <w:pStyle w:val="Heading3"/>
        <w:spacing w:line="276" w:lineRule="auto"/>
        <w:jc w:val="both"/>
        <w:rPr>
          <w:rFonts w:asciiTheme="minorBidi" w:hAnsiTheme="minorBidi" w:cstheme="minorBidi"/>
          <w:color w:val="000000" w:themeColor="text1"/>
          <w:lang w:val="en-GB"/>
        </w:rPr>
      </w:pPr>
      <w:bookmarkStart w:id="12" w:name="_Toc477942909"/>
      <w:r w:rsidRPr="00656114">
        <w:rPr>
          <w:rFonts w:asciiTheme="minorBidi" w:hAnsiTheme="minorBidi" w:cstheme="minorBidi"/>
          <w:color w:val="000000" w:themeColor="text1"/>
          <w:lang w:val="en-GB"/>
        </w:rPr>
        <w:t>Assessing the learning time for each unit</w:t>
      </w:r>
      <w:bookmarkEnd w:id="12"/>
    </w:p>
    <w:p w14:paraId="2B38006F" w14:textId="26DFD1F3"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In the case of a new qualification, a group of subject and pedagogical experts (normally including those that designed the course or unit) would reach </w:t>
      </w:r>
      <w:r w:rsidR="00CB453E" w:rsidRPr="00656114">
        <w:rPr>
          <w:rFonts w:asciiTheme="minorBidi" w:hAnsiTheme="minorBidi"/>
          <w:sz w:val="24"/>
          <w:szCs w:val="24"/>
          <w:lang w:val="en-GB"/>
        </w:rPr>
        <w:t>a</w:t>
      </w:r>
      <w:r w:rsidRPr="00656114">
        <w:rPr>
          <w:rFonts w:asciiTheme="minorBidi" w:hAnsiTheme="minorBidi"/>
          <w:sz w:val="24"/>
          <w:szCs w:val="24"/>
          <w:lang w:val="en-GB"/>
        </w:rPr>
        <w:t xml:space="preserve"> consensus on the estimated time that a typical learner</w:t>
      </w:r>
      <w:r w:rsidRPr="00656114">
        <w:rPr>
          <w:rStyle w:val="FootnoteReference"/>
          <w:rFonts w:asciiTheme="minorBidi" w:hAnsiTheme="minorBidi"/>
          <w:sz w:val="24"/>
          <w:szCs w:val="24"/>
          <w:lang w:val="en-GB"/>
        </w:rPr>
        <w:footnoteReference w:id="4"/>
      </w:r>
      <w:r w:rsidRPr="00656114">
        <w:rPr>
          <w:rFonts w:asciiTheme="minorBidi" w:hAnsiTheme="minorBidi"/>
          <w:sz w:val="24"/>
          <w:szCs w:val="24"/>
          <w:lang w:val="en-GB"/>
        </w:rPr>
        <w:t xml:space="preserve"> would need for successful completion of the requirements of that course or other unit. This should be referred to as </w:t>
      </w:r>
      <w:r w:rsidRPr="00656114">
        <w:rPr>
          <w:rFonts w:asciiTheme="minorBidi" w:hAnsiTheme="minorBidi"/>
          <w:b/>
          <w:bCs/>
          <w:sz w:val="24"/>
          <w:szCs w:val="24"/>
          <w:lang w:val="en-GB"/>
        </w:rPr>
        <w:t>learning time</w:t>
      </w:r>
      <w:r w:rsidRPr="00656114">
        <w:rPr>
          <w:rFonts w:asciiTheme="minorBidi" w:hAnsiTheme="minorBidi"/>
          <w:sz w:val="24"/>
          <w:szCs w:val="24"/>
          <w:lang w:val="en-GB"/>
        </w:rPr>
        <w:t>. The process of estimating the learning time should be done separately for each course or other unit (component) of qualification. The table below is devised to support the calculation of learning time for each course or unit.</w:t>
      </w:r>
    </w:p>
    <w:p w14:paraId="17607A02" w14:textId="77777777" w:rsidR="008C0774" w:rsidRPr="00656114" w:rsidRDefault="008C0774" w:rsidP="00FE7367">
      <w:pPr>
        <w:spacing w:line="276" w:lineRule="auto"/>
        <w:jc w:val="both"/>
        <w:rPr>
          <w:rFonts w:asciiTheme="minorBidi" w:hAnsiTheme="minorBidi"/>
          <w:sz w:val="24"/>
          <w:szCs w:val="24"/>
          <w:lang w:val="en-GB"/>
        </w:rPr>
      </w:pPr>
    </w:p>
    <w:p w14:paraId="6B3561A3" w14:textId="77777777" w:rsidR="008C0774" w:rsidRPr="00656114" w:rsidRDefault="008C0774" w:rsidP="00FE7367">
      <w:pPr>
        <w:pStyle w:val="Heading3"/>
        <w:spacing w:line="276" w:lineRule="auto"/>
        <w:jc w:val="both"/>
        <w:rPr>
          <w:rFonts w:asciiTheme="minorBidi" w:hAnsiTheme="minorBidi" w:cstheme="minorBidi"/>
          <w:color w:val="000000" w:themeColor="text1"/>
          <w:lang w:val="en-GB"/>
        </w:rPr>
      </w:pPr>
      <w:bookmarkStart w:id="13" w:name="_Toc477942911"/>
      <w:r w:rsidRPr="00656114">
        <w:rPr>
          <w:rFonts w:asciiTheme="minorBidi" w:hAnsiTheme="minorBidi" w:cstheme="minorBidi"/>
          <w:color w:val="000000" w:themeColor="text1"/>
          <w:lang w:val="en-GB"/>
        </w:rPr>
        <w:t>Overall learning time and adjustments</w:t>
      </w:r>
      <w:bookmarkEnd w:id="13"/>
    </w:p>
    <w:p w14:paraId="79EF8BEB" w14:textId="7777777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The sum of learning time for all units is a step towards determining the total of learning hours for the qualification or the total learning time. If the sum of learning time exceeds the desired total learning time, the adjustments of the curriculum will be needed until the right balance of learning hours is reached.</w:t>
      </w:r>
    </w:p>
    <w:p w14:paraId="75D7B12D" w14:textId="77777777" w:rsidR="008C0774" w:rsidRPr="00656114" w:rsidRDefault="008C0774" w:rsidP="00FE7367">
      <w:pPr>
        <w:spacing w:line="276" w:lineRule="auto"/>
        <w:jc w:val="both"/>
        <w:rPr>
          <w:rFonts w:asciiTheme="minorBidi" w:hAnsiTheme="minorBidi"/>
          <w:sz w:val="24"/>
          <w:szCs w:val="24"/>
          <w:lang w:val="en-GB"/>
        </w:rPr>
      </w:pPr>
    </w:p>
    <w:p w14:paraId="6EB50075" w14:textId="77777777" w:rsidR="008C0774" w:rsidRPr="00656114" w:rsidRDefault="008C0774" w:rsidP="00FE7367">
      <w:pPr>
        <w:pStyle w:val="Heading3"/>
        <w:spacing w:line="276" w:lineRule="auto"/>
        <w:jc w:val="both"/>
        <w:rPr>
          <w:rFonts w:asciiTheme="minorBidi" w:hAnsiTheme="minorBidi" w:cstheme="minorBidi"/>
          <w:color w:val="000000" w:themeColor="text1"/>
          <w:lang w:val="en-GB"/>
        </w:rPr>
      </w:pPr>
      <w:bookmarkStart w:id="14" w:name="_Toc477942912"/>
      <w:r w:rsidRPr="00656114">
        <w:rPr>
          <w:rFonts w:asciiTheme="minorBidi" w:hAnsiTheme="minorBidi" w:cstheme="minorBidi"/>
          <w:color w:val="000000" w:themeColor="text1"/>
          <w:lang w:val="en-GB"/>
        </w:rPr>
        <w:t>Converting learning time into learning credit points</w:t>
      </w:r>
      <w:bookmarkEnd w:id="14"/>
    </w:p>
    <w:p w14:paraId="30DF851C" w14:textId="3FF2DFF7"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The ratio between learning hours and credit point </w:t>
      </w:r>
      <w:r w:rsidR="00CB453E" w:rsidRPr="00656114">
        <w:rPr>
          <w:rFonts w:asciiTheme="minorBidi" w:hAnsiTheme="minorBidi"/>
          <w:sz w:val="24"/>
          <w:szCs w:val="24"/>
          <w:lang w:val="en-GB"/>
        </w:rPr>
        <w:t>needs to be decided. For example, if the ratio would be</w:t>
      </w:r>
      <w:r w:rsidRPr="00656114">
        <w:rPr>
          <w:rFonts w:asciiTheme="minorBidi" w:hAnsiTheme="minorBidi"/>
          <w:sz w:val="24"/>
          <w:szCs w:val="24"/>
          <w:lang w:val="en-GB"/>
        </w:rPr>
        <w:t xml:space="preserve"> 10 to 1</w:t>
      </w:r>
      <w:r w:rsidR="00CB453E" w:rsidRPr="00656114">
        <w:rPr>
          <w:rFonts w:asciiTheme="minorBidi" w:hAnsiTheme="minorBidi"/>
          <w:sz w:val="24"/>
          <w:szCs w:val="24"/>
          <w:lang w:val="en-GB"/>
        </w:rPr>
        <w:t xml:space="preserve">, then </w:t>
      </w:r>
      <w:r w:rsidRPr="00656114">
        <w:rPr>
          <w:rFonts w:asciiTheme="minorBidi" w:hAnsiTheme="minorBidi"/>
          <w:sz w:val="24"/>
          <w:szCs w:val="24"/>
          <w:lang w:val="en-GB"/>
        </w:rPr>
        <w:t xml:space="preserve">10 hours of notional learning time </w:t>
      </w:r>
      <w:r w:rsidR="00CB453E" w:rsidRPr="00656114">
        <w:rPr>
          <w:rFonts w:asciiTheme="minorBidi" w:hAnsiTheme="minorBidi"/>
          <w:sz w:val="24"/>
          <w:szCs w:val="24"/>
          <w:lang w:val="en-GB"/>
        </w:rPr>
        <w:t xml:space="preserve">would </w:t>
      </w:r>
      <w:r w:rsidRPr="00656114">
        <w:rPr>
          <w:rFonts w:asciiTheme="minorBidi" w:hAnsiTheme="minorBidi"/>
          <w:sz w:val="24"/>
          <w:szCs w:val="24"/>
          <w:lang w:val="en-GB"/>
        </w:rPr>
        <w:t>correspond to 1 learning credit.</w:t>
      </w:r>
    </w:p>
    <w:p w14:paraId="0A025FB6" w14:textId="77777777" w:rsidR="008C0774" w:rsidRPr="00656114" w:rsidRDefault="008C0774" w:rsidP="00FE7367">
      <w:pPr>
        <w:spacing w:line="276" w:lineRule="auto"/>
        <w:jc w:val="both"/>
        <w:rPr>
          <w:rFonts w:asciiTheme="minorBidi" w:hAnsiTheme="minorBidi"/>
          <w:sz w:val="24"/>
          <w:szCs w:val="24"/>
          <w:lang w:val="en-GB"/>
        </w:rPr>
      </w:pPr>
    </w:p>
    <w:p w14:paraId="667EAF4B" w14:textId="77777777" w:rsidR="008C0774" w:rsidRPr="00656114" w:rsidRDefault="008C0774" w:rsidP="00FE7367">
      <w:pPr>
        <w:spacing w:line="276" w:lineRule="auto"/>
        <w:jc w:val="both"/>
        <w:rPr>
          <w:rFonts w:asciiTheme="minorBidi" w:hAnsiTheme="minorBidi"/>
          <w:sz w:val="24"/>
          <w:szCs w:val="24"/>
          <w:lang w:val="en-GB"/>
        </w:rPr>
      </w:pPr>
    </w:p>
    <w:tbl>
      <w:tblPr>
        <w:tblStyle w:val="GridTable2-Accent5"/>
        <w:tblpPr w:leftFromText="141" w:rightFromText="141" w:vertAnchor="text" w:horzAnchor="margin" w:tblpY="-1"/>
        <w:tblW w:w="0" w:type="auto"/>
        <w:tblLook w:val="04A0" w:firstRow="1" w:lastRow="0" w:firstColumn="1" w:lastColumn="0" w:noHBand="0" w:noVBand="1"/>
      </w:tblPr>
      <w:tblGrid>
        <w:gridCol w:w="3388"/>
        <w:gridCol w:w="3545"/>
        <w:gridCol w:w="2073"/>
      </w:tblGrid>
      <w:tr w:rsidR="00CB453E" w:rsidRPr="00656114" w14:paraId="718A0CE2" w14:textId="77777777" w:rsidTr="00CB453E">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388" w:type="dxa"/>
            <w:hideMark/>
          </w:tcPr>
          <w:p w14:paraId="2517ABF6" w14:textId="77777777" w:rsidR="008C0774" w:rsidRPr="00656114" w:rsidRDefault="008C0774" w:rsidP="00FE7367">
            <w:pPr>
              <w:keepNext/>
              <w:keepLines/>
              <w:spacing w:before="120" w:after="120" w:line="276" w:lineRule="auto"/>
              <w:jc w:val="both"/>
              <w:outlineLvl w:val="1"/>
              <w:rPr>
                <w:rFonts w:asciiTheme="minorBidi" w:eastAsiaTheme="majorEastAsia" w:hAnsiTheme="minorBidi"/>
                <w:b w:val="0"/>
                <w:color w:val="000000" w:themeColor="text1"/>
                <w:sz w:val="20"/>
                <w:szCs w:val="20"/>
                <w:lang w:val="en-GB"/>
              </w:rPr>
            </w:pPr>
            <w:bookmarkStart w:id="15" w:name="_Toc446000596"/>
            <w:bookmarkStart w:id="16" w:name="_Toc477942913"/>
            <w:bookmarkStart w:id="17" w:name="_Hlk477942941"/>
            <w:r w:rsidRPr="00656114">
              <w:rPr>
                <w:rFonts w:asciiTheme="minorBidi" w:eastAsiaTheme="majorEastAsia" w:hAnsiTheme="minorBidi"/>
                <w:b w:val="0"/>
                <w:color w:val="000000" w:themeColor="text1"/>
                <w:sz w:val="20"/>
                <w:szCs w:val="20"/>
                <w:lang w:val="en-GB"/>
              </w:rPr>
              <w:lastRenderedPageBreak/>
              <w:t>Learning Activity</w:t>
            </w:r>
            <w:bookmarkEnd w:id="15"/>
            <w:bookmarkEnd w:id="16"/>
          </w:p>
        </w:tc>
        <w:tc>
          <w:tcPr>
            <w:tcW w:w="3545" w:type="dxa"/>
            <w:hideMark/>
          </w:tcPr>
          <w:p w14:paraId="182CBC6F" w14:textId="77777777" w:rsidR="008C0774" w:rsidRPr="00656114" w:rsidRDefault="008C0774" w:rsidP="00FE7367">
            <w:pPr>
              <w:keepNext/>
              <w:keepLines/>
              <w:spacing w:before="120" w:after="120" w:line="276" w:lineRule="auto"/>
              <w:jc w:val="both"/>
              <w:outlineLvl w:val="1"/>
              <w:cnfStyle w:val="100000000000" w:firstRow="1" w:lastRow="0" w:firstColumn="0" w:lastColumn="0" w:oddVBand="0" w:evenVBand="0" w:oddHBand="0" w:evenHBand="0" w:firstRowFirstColumn="0" w:firstRowLastColumn="0" w:lastRowFirstColumn="0" w:lastRowLastColumn="0"/>
              <w:rPr>
                <w:rFonts w:asciiTheme="minorBidi" w:eastAsiaTheme="majorEastAsia" w:hAnsiTheme="minorBidi"/>
                <w:b w:val="0"/>
                <w:color w:val="000000" w:themeColor="text1"/>
                <w:sz w:val="20"/>
                <w:szCs w:val="20"/>
                <w:lang w:val="en-GB"/>
              </w:rPr>
            </w:pPr>
            <w:bookmarkStart w:id="18" w:name="_Toc446000597"/>
            <w:bookmarkStart w:id="19" w:name="_Toc477942914"/>
            <w:r w:rsidRPr="00656114">
              <w:rPr>
                <w:rFonts w:asciiTheme="minorBidi" w:eastAsiaTheme="majorEastAsia" w:hAnsiTheme="minorBidi"/>
                <w:b w:val="0"/>
                <w:color w:val="000000" w:themeColor="text1"/>
                <w:sz w:val="20"/>
                <w:szCs w:val="20"/>
                <w:lang w:val="en-GB"/>
              </w:rPr>
              <w:t>Description</w:t>
            </w:r>
            <w:bookmarkEnd w:id="18"/>
            <w:bookmarkEnd w:id="19"/>
          </w:p>
          <w:p w14:paraId="0745AD6B" w14:textId="77777777" w:rsidR="008C0774" w:rsidRPr="00656114" w:rsidRDefault="008C0774" w:rsidP="00FE7367">
            <w:pPr>
              <w:spacing w:before="120" w:after="12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00000" w:themeColor="text1"/>
                <w:sz w:val="20"/>
                <w:szCs w:val="20"/>
                <w:lang w:val="en-GB" w:eastAsia="en-GB"/>
              </w:rPr>
            </w:pPr>
            <w:r w:rsidRPr="00656114">
              <w:rPr>
                <w:rFonts w:asciiTheme="minorBidi" w:eastAsia="Times New Roman" w:hAnsiTheme="minorBidi"/>
                <w:b w:val="0"/>
                <w:bCs w:val="0"/>
                <w:color w:val="000000" w:themeColor="text1"/>
                <w:sz w:val="20"/>
                <w:szCs w:val="20"/>
                <w:lang w:val="en-GB" w:eastAsia="en-GB"/>
              </w:rPr>
              <w:t>(if required)</w:t>
            </w:r>
          </w:p>
        </w:tc>
        <w:tc>
          <w:tcPr>
            <w:tcW w:w="2073" w:type="dxa"/>
            <w:hideMark/>
          </w:tcPr>
          <w:p w14:paraId="171A931A" w14:textId="77777777" w:rsidR="008C0774" w:rsidRPr="00656114" w:rsidRDefault="008C0774" w:rsidP="00FE7367">
            <w:pPr>
              <w:keepNext/>
              <w:keepLines/>
              <w:spacing w:before="120" w:after="120" w:line="276" w:lineRule="auto"/>
              <w:jc w:val="both"/>
              <w:outlineLvl w:val="1"/>
              <w:cnfStyle w:val="100000000000" w:firstRow="1" w:lastRow="0" w:firstColumn="0" w:lastColumn="0" w:oddVBand="0" w:evenVBand="0" w:oddHBand="0" w:evenHBand="0" w:firstRowFirstColumn="0" w:firstRowLastColumn="0" w:lastRowFirstColumn="0" w:lastRowLastColumn="0"/>
              <w:rPr>
                <w:rFonts w:asciiTheme="minorBidi" w:eastAsiaTheme="majorEastAsia" w:hAnsiTheme="minorBidi"/>
                <w:b w:val="0"/>
                <w:color w:val="000000" w:themeColor="text1"/>
                <w:sz w:val="20"/>
                <w:szCs w:val="20"/>
                <w:lang w:val="en-GB"/>
              </w:rPr>
            </w:pPr>
            <w:bookmarkStart w:id="20" w:name="_Toc446000598"/>
            <w:bookmarkStart w:id="21" w:name="_Toc477942915"/>
            <w:r w:rsidRPr="00656114">
              <w:rPr>
                <w:rFonts w:asciiTheme="minorBidi" w:eastAsiaTheme="majorEastAsia" w:hAnsiTheme="minorBidi"/>
                <w:b w:val="0"/>
                <w:color w:val="000000" w:themeColor="text1"/>
                <w:sz w:val="20"/>
                <w:szCs w:val="20"/>
                <w:lang w:val="en-GB"/>
              </w:rPr>
              <w:t>Typical time (learning hours)</w:t>
            </w:r>
            <w:bookmarkEnd w:id="20"/>
            <w:bookmarkEnd w:id="21"/>
            <w:r w:rsidRPr="00656114">
              <w:rPr>
                <w:rFonts w:asciiTheme="minorBidi" w:eastAsiaTheme="majorEastAsia" w:hAnsiTheme="minorBidi"/>
                <w:b w:val="0"/>
                <w:color w:val="000000" w:themeColor="text1"/>
                <w:sz w:val="20"/>
                <w:szCs w:val="20"/>
                <w:lang w:val="en-GB"/>
              </w:rPr>
              <w:t xml:space="preserve"> </w:t>
            </w:r>
          </w:p>
        </w:tc>
      </w:tr>
      <w:tr w:rsidR="00CB453E" w:rsidRPr="00656114" w14:paraId="546E273F"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581D1C08"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Induction activities</w:t>
            </w:r>
          </w:p>
        </w:tc>
        <w:tc>
          <w:tcPr>
            <w:tcW w:w="3545" w:type="dxa"/>
          </w:tcPr>
          <w:p w14:paraId="6FC94854"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17E8AE29"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51ED91C3"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20E47940"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Formal taught (credit) hours</w:t>
            </w:r>
          </w:p>
        </w:tc>
        <w:tc>
          <w:tcPr>
            <w:tcW w:w="3545" w:type="dxa"/>
          </w:tcPr>
          <w:p w14:paraId="780C4C29"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0AD2BEC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7BE2FB0C"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21FDCBE5"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Tutorials</w:t>
            </w:r>
          </w:p>
        </w:tc>
        <w:tc>
          <w:tcPr>
            <w:tcW w:w="3545" w:type="dxa"/>
          </w:tcPr>
          <w:p w14:paraId="2083D2CE"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7C3AEEAA"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63756D3D"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tcPr>
          <w:p w14:paraId="4DC5EEF9"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Other contact activities</w:t>
            </w:r>
          </w:p>
        </w:tc>
        <w:tc>
          <w:tcPr>
            <w:tcW w:w="3545" w:type="dxa"/>
          </w:tcPr>
          <w:p w14:paraId="3D6DAAC9"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333DC32D"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649A854A"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tcPr>
          <w:p w14:paraId="2AEC9979" w14:textId="702F24AE"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Workshop</w:t>
            </w:r>
            <w:r w:rsidR="00CB453E" w:rsidRPr="00656114">
              <w:rPr>
                <w:rFonts w:asciiTheme="minorBidi" w:hAnsiTheme="minorBidi"/>
                <w:color w:val="000000" w:themeColor="text1"/>
                <w:sz w:val="20"/>
                <w:szCs w:val="20"/>
                <w:lang w:val="en-GB"/>
              </w:rPr>
              <w:t>s</w:t>
            </w:r>
          </w:p>
        </w:tc>
        <w:tc>
          <w:tcPr>
            <w:tcW w:w="3545" w:type="dxa"/>
          </w:tcPr>
          <w:p w14:paraId="51C88867"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1525C245"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0EF6DADF"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tcPr>
          <w:p w14:paraId="16F858E1"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Laboratory work</w:t>
            </w:r>
          </w:p>
        </w:tc>
        <w:tc>
          <w:tcPr>
            <w:tcW w:w="3545" w:type="dxa"/>
          </w:tcPr>
          <w:p w14:paraId="50765FEB"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684A8C5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700161F8"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tcPr>
          <w:p w14:paraId="2F375AC1" w14:textId="5B9F15E1"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Individual project work</w:t>
            </w:r>
            <w:r w:rsidR="00CB453E" w:rsidRPr="00656114">
              <w:rPr>
                <w:rFonts w:asciiTheme="minorBidi" w:hAnsiTheme="minorBidi"/>
                <w:color w:val="000000" w:themeColor="text1"/>
                <w:sz w:val="20"/>
                <w:szCs w:val="20"/>
                <w:lang w:val="en-GB"/>
              </w:rPr>
              <w:t>s</w:t>
            </w:r>
          </w:p>
        </w:tc>
        <w:tc>
          <w:tcPr>
            <w:tcW w:w="3545" w:type="dxa"/>
          </w:tcPr>
          <w:p w14:paraId="79A16B5C"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40A0B30A"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24027548"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0018510C"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 xml:space="preserve">Expected research </w:t>
            </w:r>
          </w:p>
        </w:tc>
        <w:tc>
          <w:tcPr>
            <w:tcW w:w="3545" w:type="dxa"/>
          </w:tcPr>
          <w:p w14:paraId="3FE9E6D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0B49A9C4"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4D2419F2"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tcPr>
          <w:p w14:paraId="0D5A2406"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Preparing presentations</w:t>
            </w:r>
          </w:p>
        </w:tc>
        <w:tc>
          <w:tcPr>
            <w:tcW w:w="3545" w:type="dxa"/>
          </w:tcPr>
          <w:p w14:paraId="5624BDFD"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5A997B82"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4A76FF32"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7D042C15"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Independent study/ reflection</w:t>
            </w:r>
          </w:p>
        </w:tc>
        <w:tc>
          <w:tcPr>
            <w:tcW w:w="3545" w:type="dxa"/>
          </w:tcPr>
          <w:p w14:paraId="241C134C"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641D133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60650AFD"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5228EF50"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Online data/literature search</w:t>
            </w:r>
          </w:p>
        </w:tc>
        <w:tc>
          <w:tcPr>
            <w:tcW w:w="3545" w:type="dxa"/>
          </w:tcPr>
          <w:p w14:paraId="0771BB37"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3127D6B7"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28B4B37C"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tcPr>
          <w:p w14:paraId="1F6363F4"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Library/archives literature search</w:t>
            </w:r>
          </w:p>
        </w:tc>
        <w:tc>
          <w:tcPr>
            <w:tcW w:w="3545" w:type="dxa"/>
          </w:tcPr>
          <w:p w14:paraId="42FE4B8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30A44340"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30059001"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37566F98"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Workplace learning</w:t>
            </w:r>
          </w:p>
        </w:tc>
        <w:tc>
          <w:tcPr>
            <w:tcW w:w="3545" w:type="dxa"/>
          </w:tcPr>
          <w:p w14:paraId="0A03E201"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5201F44A"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3DC4287D"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60723706"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Practical activities</w:t>
            </w:r>
          </w:p>
        </w:tc>
        <w:tc>
          <w:tcPr>
            <w:tcW w:w="3545" w:type="dxa"/>
          </w:tcPr>
          <w:p w14:paraId="18B5D805"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132CEE71"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737DD782"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tcPr>
          <w:p w14:paraId="2952092C"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Placements</w:t>
            </w:r>
          </w:p>
        </w:tc>
        <w:tc>
          <w:tcPr>
            <w:tcW w:w="3545" w:type="dxa"/>
          </w:tcPr>
          <w:p w14:paraId="4B369495"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07EEE96E"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4E90B627"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3DC1790F"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Assessment</w:t>
            </w:r>
          </w:p>
        </w:tc>
        <w:tc>
          <w:tcPr>
            <w:tcW w:w="3545" w:type="dxa"/>
          </w:tcPr>
          <w:p w14:paraId="424DFE67"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452599F9"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08516CBB"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8" w:type="dxa"/>
            <w:hideMark/>
          </w:tcPr>
          <w:p w14:paraId="20A8E810"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Other</w:t>
            </w:r>
          </w:p>
        </w:tc>
        <w:tc>
          <w:tcPr>
            <w:tcW w:w="3545" w:type="dxa"/>
          </w:tcPr>
          <w:p w14:paraId="0ADB64E3"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c>
          <w:tcPr>
            <w:tcW w:w="2073" w:type="dxa"/>
          </w:tcPr>
          <w:p w14:paraId="1DBA1F59"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035FEA07"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6933" w:type="dxa"/>
            <w:gridSpan w:val="2"/>
            <w:hideMark/>
          </w:tcPr>
          <w:p w14:paraId="36C4FBC7"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Total learning hours</w:t>
            </w:r>
          </w:p>
        </w:tc>
        <w:tc>
          <w:tcPr>
            <w:tcW w:w="2073" w:type="dxa"/>
          </w:tcPr>
          <w:p w14:paraId="3DFBE3D3" w14:textId="77777777" w:rsidR="008C0774" w:rsidRPr="00656114" w:rsidRDefault="008C0774" w:rsidP="00FE736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363E7A43" w14:textId="77777777" w:rsidTr="00CB45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33" w:type="dxa"/>
            <w:gridSpan w:val="2"/>
            <w:hideMark/>
          </w:tcPr>
          <w:p w14:paraId="11A1AFE4" w14:textId="38CB7408"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 xml:space="preserve">Learning Credit (Total learning hours / </w:t>
            </w:r>
            <w:r w:rsidR="00CB453E" w:rsidRPr="00656114">
              <w:rPr>
                <w:rFonts w:asciiTheme="minorBidi" w:hAnsiTheme="minorBidi"/>
                <w:color w:val="000000" w:themeColor="text1"/>
                <w:sz w:val="20"/>
                <w:szCs w:val="20"/>
                <w:lang w:val="en-GB"/>
              </w:rPr>
              <w:t>X</w:t>
            </w:r>
            <w:r w:rsidRPr="00656114">
              <w:rPr>
                <w:rFonts w:asciiTheme="minorBidi" w:hAnsiTheme="minorBidi"/>
                <w:color w:val="000000" w:themeColor="text1"/>
                <w:sz w:val="20"/>
                <w:szCs w:val="20"/>
                <w:lang w:val="en-GB"/>
              </w:rPr>
              <w:t>)</w:t>
            </w:r>
          </w:p>
        </w:tc>
        <w:tc>
          <w:tcPr>
            <w:tcW w:w="2073" w:type="dxa"/>
          </w:tcPr>
          <w:p w14:paraId="02E56ACA" w14:textId="77777777" w:rsidR="008C0774" w:rsidRPr="00656114" w:rsidRDefault="008C0774" w:rsidP="00FE736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lang w:val="en-GB"/>
              </w:rPr>
            </w:pPr>
          </w:p>
        </w:tc>
      </w:tr>
      <w:tr w:rsidR="00CB453E" w:rsidRPr="00656114" w14:paraId="7FAF61C9" w14:textId="77777777" w:rsidTr="00CB453E">
        <w:trPr>
          <w:trHeight w:val="397"/>
        </w:trPr>
        <w:tc>
          <w:tcPr>
            <w:cnfStyle w:val="001000000000" w:firstRow="0" w:lastRow="0" w:firstColumn="1" w:lastColumn="0" w:oddVBand="0" w:evenVBand="0" w:oddHBand="0" w:evenHBand="0" w:firstRowFirstColumn="0" w:firstRowLastColumn="0" w:lastRowFirstColumn="0" w:lastRowLastColumn="0"/>
            <w:tcW w:w="9006" w:type="dxa"/>
            <w:gridSpan w:val="3"/>
          </w:tcPr>
          <w:p w14:paraId="15E51CA2" w14:textId="77777777" w:rsidR="008C0774" w:rsidRPr="00656114" w:rsidRDefault="008C0774" w:rsidP="00FE7367">
            <w:pPr>
              <w:spacing w:line="276" w:lineRule="auto"/>
              <w:jc w:val="both"/>
              <w:rPr>
                <w:rFonts w:asciiTheme="minorBidi" w:hAnsiTheme="minorBidi"/>
                <w:color w:val="000000" w:themeColor="text1"/>
                <w:sz w:val="20"/>
                <w:szCs w:val="20"/>
                <w:lang w:val="en-GB"/>
              </w:rPr>
            </w:pPr>
            <w:r w:rsidRPr="00656114">
              <w:rPr>
                <w:rFonts w:asciiTheme="minorBidi" w:hAnsiTheme="minorBidi"/>
                <w:color w:val="000000" w:themeColor="text1"/>
                <w:sz w:val="20"/>
                <w:szCs w:val="20"/>
                <w:lang w:val="en-GB"/>
              </w:rPr>
              <w:t>Issues arising:</w:t>
            </w:r>
          </w:p>
          <w:p w14:paraId="1188377D" w14:textId="77777777" w:rsidR="008C0774" w:rsidRPr="00656114" w:rsidRDefault="008C0774" w:rsidP="00FE7367">
            <w:pPr>
              <w:spacing w:line="276" w:lineRule="auto"/>
              <w:jc w:val="both"/>
              <w:rPr>
                <w:rFonts w:asciiTheme="minorBidi" w:hAnsiTheme="minorBidi"/>
                <w:color w:val="000000" w:themeColor="text1"/>
                <w:sz w:val="20"/>
                <w:szCs w:val="20"/>
                <w:lang w:val="en-GB"/>
              </w:rPr>
            </w:pPr>
          </w:p>
          <w:p w14:paraId="31C57893" w14:textId="77777777" w:rsidR="008C0774" w:rsidRPr="00656114" w:rsidRDefault="008C0774" w:rsidP="00FE7367">
            <w:pPr>
              <w:spacing w:line="276" w:lineRule="auto"/>
              <w:jc w:val="both"/>
              <w:rPr>
                <w:rFonts w:asciiTheme="minorBidi" w:hAnsiTheme="minorBidi"/>
                <w:color w:val="000000" w:themeColor="text1"/>
                <w:sz w:val="20"/>
                <w:szCs w:val="20"/>
                <w:lang w:val="en-GB"/>
              </w:rPr>
            </w:pPr>
          </w:p>
        </w:tc>
      </w:tr>
      <w:bookmarkEnd w:id="17"/>
    </w:tbl>
    <w:p w14:paraId="344EF672" w14:textId="77777777" w:rsidR="00FE7367" w:rsidRPr="00656114" w:rsidRDefault="00FE7367" w:rsidP="00FE7367">
      <w:pPr>
        <w:pStyle w:val="Heading2"/>
        <w:spacing w:line="276" w:lineRule="auto"/>
        <w:jc w:val="both"/>
        <w:rPr>
          <w:rFonts w:asciiTheme="minorBidi" w:hAnsiTheme="minorBidi" w:cstheme="minorBidi"/>
          <w:b/>
          <w:bCs/>
          <w:color w:val="000000" w:themeColor="text1"/>
          <w:sz w:val="24"/>
          <w:szCs w:val="24"/>
          <w:lang w:val="en-GB"/>
        </w:rPr>
      </w:pPr>
    </w:p>
    <w:p w14:paraId="48D7F518" w14:textId="5F50A821" w:rsidR="008C0774" w:rsidRPr="00656114" w:rsidRDefault="00CB453E" w:rsidP="00FE7367">
      <w:pPr>
        <w:pStyle w:val="Heading2"/>
        <w:spacing w:line="276" w:lineRule="auto"/>
        <w:jc w:val="both"/>
        <w:rPr>
          <w:rFonts w:asciiTheme="minorBidi" w:hAnsiTheme="minorBidi" w:cstheme="minorBidi"/>
          <w:b/>
          <w:bCs/>
          <w:color w:val="000000" w:themeColor="text1"/>
          <w:sz w:val="24"/>
          <w:szCs w:val="24"/>
          <w:lang w:val="en-GB"/>
        </w:rPr>
      </w:pPr>
      <w:r w:rsidRPr="00656114">
        <w:rPr>
          <w:rFonts w:asciiTheme="minorBidi" w:hAnsiTheme="minorBidi" w:cstheme="minorBidi"/>
          <w:b/>
          <w:bCs/>
          <w:color w:val="000000" w:themeColor="text1"/>
          <w:sz w:val="24"/>
          <w:szCs w:val="24"/>
          <w:lang w:val="en-GB"/>
        </w:rPr>
        <w:t>Conclusion</w:t>
      </w:r>
    </w:p>
    <w:p w14:paraId="1FE28192" w14:textId="67083215" w:rsidR="008C0774" w:rsidRPr="00656114" w:rsidRDefault="008C0774"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In line with international developments, the </w:t>
      </w:r>
      <w:r w:rsidR="00CB453E" w:rsidRPr="00656114">
        <w:rPr>
          <w:rFonts w:asciiTheme="minorBidi" w:hAnsiTheme="minorBidi"/>
          <w:sz w:val="24"/>
          <w:szCs w:val="24"/>
          <w:lang w:val="en-GB"/>
        </w:rPr>
        <w:t>NQFJ should be</w:t>
      </w:r>
      <w:r w:rsidRPr="00656114">
        <w:rPr>
          <w:rFonts w:asciiTheme="minorBidi" w:hAnsiTheme="minorBidi"/>
          <w:sz w:val="24"/>
          <w:szCs w:val="24"/>
          <w:lang w:val="en-GB"/>
        </w:rPr>
        <w:t xml:space="preserve"> a learner-</w:t>
      </w:r>
      <w:r w:rsidR="00CB453E" w:rsidRPr="00656114">
        <w:rPr>
          <w:rFonts w:asciiTheme="minorBidi" w:hAnsiTheme="minorBidi"/>
          <w:sz w:val="24"/>
          <w:szCs w:val="24"/>
          <w:lang w:val="en-GB"/>
        </w:rPr>
        <w:t>centred</w:t>
      </w:r>
      <w:r w:rsidRPr="00656114">
        <w:rPr>
          <w:rFonts w:asciiTheme="minorBidi" w:hAnsiTheme="minorBidi"/>
          <w:sz w:val="24"/>
          <w:szCs w:val="24"/>
          <w:lang w:val="en-GB"/>
        </w:rPr>
        <w:t xml:space="preserve"> system. It </w:t>
      </w:r>
      <w:r w:rsidR="007B2798" w:rsidRPr="00656114">
        <w:rPr>
          <w:rFonts w:asciiTheme="minorBidi" w:hAnsiTheme="minorBidi"/>
          <w:sz w:val="24"/>
          <w:szCs w:val="24"/>
          <w:lang w:val="en-GB"/>
        </w:rPr>
        <w:t xml:space="preserve">should </w:t>
      </w:r>
      <w:r w:rsidRPr="00656114">
        <w:rPr>
          <w:rFonts w:asciiTheme="minorBidi" w:hAnsiTheme="minorBidi"/>
          <w:sz w:val="24"/>
          <w:szCs w:val="24"/>
          <w:lang w:val="en-GB"/>
        </w:rPr>
        <w:t xml:space="preserve">describe learning from a learner perspective, not from a teaching one. The focus </w:t>
      </w:r>
      <w:r w:rsidR="007B2798" w:rsidRPr="00656114">
        <w:rPr>
          <w:rFonts w:asciiTheme="minorBidi" w:hAnsiTheme="minorBidi"/>
          <w:sz w:val="24"/>
          <w:szCs w:val="24"/>
          <w:lang w:val="en-GB"/>
        </w:rPr>
        <w:t>should be</w:t>
      </w:r>
      <w:r w:rsidRPr="00656114">
        <w:rPr>
          <w:rFonts w:asciiTheme="minorBidi" w:hAnsiTheme="minorBidi"/>
          <w:sz w:val="24"/>
          <w:szCs w:val="24"/>
          <w:lang w:val="en-GB"/>
        </w:rPr>
        <w:t xml:space="preserve"> on outcomes and not on input. The knowledge, skills and competence </w:t>
      </w:r>
      <w:r w:rsidRPr="00656114">
        <w:rPr>
          <w:rFonts w:asciiTheme="minorBidi" w:hAnsiTheme="minorBidi"/>
          <w:sz w:val="24"/>
          <w:szCs w:val="24"/>
          <w:lang w:val="en-GB"/>
        </w:rPr>
        <w:lastRenderedPageBreak/>
        <w:t xml:space="preserve">portrayed in the </w:t>
      </w:r>
      <w:r w:rsidR="00CB453E" w:rsidRPr="00656114">
        <w:rPr>
          <w:rFonts w:asciiTheme="minorBidi" w:hAnsiTheme="minorBidi"/>
          <w:sz w:val="24"/>
          <w:szCs w:val="24"/>
          <w:lang w:val="en-GB"/>
        </w:rPr>
        <w:t>NQFJ</w:t>
      </w:r>
      <w:r w:rsidRPr="00656114">
        <w:rPr>
          <w:rFonts w:asciiTheme="minorBidi" w:hAnsiTheme="minorBidi"/>
          <w:sz w:val="24"/>
          <w:szCs w:val="24"/>
          <w:lang w:val="en-GB"/>
        </w:rPr>
        <w:t xml:space="preserve"> level descriptors </w:t>
      </w:r>
      <w:r w:rsidR="007B2798" w:rsidRPr="00656114">
        <w:rPr>
          <w:rFonts w:asciiTheme="minorBidi" w:hAnsiTheme="minorBidi"/>
          <w:sz w:val="24"/>
          <w:szCs w:val="24"/>
          <w:lang w:val="en-GB"/>
        </w:rPr>
        <w:t xml:space="preserve">should </w:t>
      </w:r>
      <w:r w:rsidRPr="00656114">
        <w:rPr>
          <w:rFonts w:asciiTheme="minorBidi" w:hAnsiTheme="minorBidi"/>
          <w:sz w:val="24"/>
          <w:szCs w:val="24"/>
          <w:lang w:val="en-GB"/>
        </w:rPr>
        <w:t xml:space="preserve">inform the development of learning outcomes to be achieved by a learner. </w:t>
      </w:r>
    </w:p>
    <w:p w14:paraId="3B7CCB50" w14:textId="6F4DF861" w:rsidR="008C0774" w:rsidRPr="00656114" w:rsidRDefault="008C0774" w:rsidP="007B2798">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All qualifications require a time commitment to achieve them. This is a measure useful for public understanding of a qualification, and supports processes of qualification comparison and recognition internationally. The </w:t>
      </w:r>
      <w:r w:rsidR="006A743D" w:rsidRPr="00656114">
        <w:rPr>
          <w:rFonts w:asciiTheme="minorBidi" w:hAnsiTheme="minorBidi"/>
          <w:sz w:val="24"/>
          <w:szCs w:val="24"/>
          <w:lang w:val="en-GB"/>
        </w:rPr>
        <w:t>NQFJ</w:t>
      </w:r>
      <w:r w:rsidRPr="00656114">
        <w:rPr>
          <w:rFonts w:asciiTheme="minorBidi" w:hAnsiTheme="minorBidi"/>
          <w:sz w:val="24"/>
          <w:szCs w:val="24"/>
          <w:lang w:val="en-GB"/>
        </w:rPr>
        <w:t xml:space="preserve"> qualification standards</w:t>
      </w:r>
      <w:r w:rsidR="007B2798" w:rsidRPr="00656114">
        <w:rPr>
          <w:rFonts w:asciiTheme="minorBidi" w:hAnsiTheme="minorBidi"/>
          <w:sz w:val="24"/>
          <w:szCs w:val="24"/>
          <w:lang w:val="en-GB"/>
        </w:rPr>
        <w:t xml:space="preserve"> and criteria</w:t>
      </w:r>
      <w:r w:rsidR="006A743D" w:rsidRPr="00656114">
        <w:rPr>
          <w:rFonts w:asciiTheme="minorBidi" w:hAnsiTheme="minorBidi"/>
          <w:sz w:val="24"/>
          <w:szCs w:val="24"/>
          <w:lang w:val="en-GB"/>
        </w:rPr>
        <w:t xml:space="preserve"> should</w:t>
      </w:r>
      <w:r w:rsidRPr="00656114">
        <w:rPr>
          <w:rFonts w:asciiTheme="minorBidi" w:hAnsiTheme="minorBidi"/>
          <w:sz w:val="24"/>
          <w:szCs w:val="24"/>
          <w:lang w:val="en-GB"/>
        </w:rPr>
        <w:t xml:space="preserve"> include a requirement to provide a measure of this time</w:t>
      </w:r>
      <w:r w:rsidR="00600538" w:rsidRPr="00656114">
        <w:rPr>
          <w:rFonts w:asciiTheme="minorBidi" w:hAnsiTheme="minorBidi"/>
          <w:sz w:val="24"/>
          <w:szCs w:val="24"/>
          <w:lang w:val="en-GB"/>
        </w:rPr>
        <w:t>, which is sometimes referred to as “credit-rating</w:t>
      </w:r>
      <w:r w:rsidR="007B2798" w:rsidRPr="00656114">
        <w:rPr>
          <w:rFonts w:asciiTheme="minorBidi" w:hAnsiTheme="minorBidi"/>
          <w:sz w:val="24"/>
          <w:szCs w:val="24"/>
          <w:lang w:val="en-GB"/>
        </w:rPr>
        <w:t xml:space="preserve"> process</w:t>
      </w:r>
      <w:r w:rsidR="00600538" w:rsidRPr="00656114">
        <w:rPr>
          <w:rFonts w:asciiTheme="minorBidi" w:hAnsiTheme="minorBidi"/>
          <w:sz w:val="24"/>
          <w:szCs w:val="24"/>
          <w:lang w:val="en-GB"/>
        </w:rPr>
        <w:t>”</w:t>
      </w:r>
      <w:r w:rsidRPr="00656114">
        <w:rPr>
          <w:rFonts w:asciiTheme="minorBidi" w:hAnsiTheme="minorBidi"/>
          <w:sz w:val="24"/>
          <w:szCs w:val="24"/>
          <w:lang w:val="en-GB"/>
        </w:rPr>
        <w:t xml:space="preserve">. This should be learner-centred also - achievement of learning outcomes </w:t>
      </w:r>
      <w:r w:rsidR="00ED2488" w:rsidRPr="00656114">
        <w:rPr>
          <w:rFonts w:asciiTheme="minorBidi" w:hAnsiTheme="minorBidi"/>
          <w:sz w:val="24"/>
          <w:szCs w:val="24"/>
          <w:lang w:val="en-GB"/>
        </w:rPr>
        <w:t>requires</w:t>
      </w:r>
      <w:r w:rsidRPr="00656114">
        <w:rPr>
          <w:rFonts w:asciiTheme="minorBidi" w:hAnsiTheme="minorBidi"/>
          <w:sz w:val="24"/>
          <w:szCs w:val="24"/>
          <w:lang w:val="en-GB"/>
        </w:rPr>
        <w:t xml:space="preserve"> a time commitment from the learner.</w:t>
      </w:r>
    </w:p>
    <w:p w14:paraId="52D3F313" w14:textId="702C80EC" w:rsidR="00C33215" w:rsidRPr="00656114" w:rsidRDefault="008C0774" w:rsidP="00C3310E">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The achievement of most qualifications is incremental – consisting of the achievement of individual </w:t>
      </w:r>
      <w:r w:rsidRPr="00656114">
        <w:rPr>
          <w:rFonts w:asciiTheme="minorBidi" w:hAnsiTheme="minorBidi"/>
          <w:b/>
          <w:sz w:val="24"/>
          <w:szCs w:val="24"/>
          <w:lang w:val="en-GB"/>
        </w:rPr>
        <w:t>components</w:t>
      </w:r>
      <w:r w:rsidRPr="00656114">
        <w:rPr>
          <w:rFonts w:asciiTheme="minorBidi" w:hAnsiTheme="minorBidi"/>
          <w:sz w:val="24"/>
          <w:szCs w:val="24"/>
          <w:lang w:val="en-GB"/>
        </w:rPr>
        <w:t xml:space="preserve"> (such as subjects, units or courses</w:t>
      </w:r>
      <w:r w:rsidR="00C3310E" w:rsidRPr="00656114">
        <w:rPr>
          <w:rFonts w:asciiTheme="minorBidi" w:hAnsiTheme="minorBidi"/>
          <w:sz w:val="24"/>
          <w:szCs w:val="24"/>
          <w:lang w:val="en-GB"/>
        </w:rPr>
        <w:t>/programmes</w:t>
      </w:r>
      <w:r w:rsidRPr="00656114">
        <w:rPr>
          <w:rFonts w:asciiTheme="minorBidi" w:hAnsiTheme="minorBidi"/>
          <w:sz w:val="24"/>
          <w:szCs w:val="24"/>
          <w:lang w:val="en-GB"/>
        </w:rPr>
        <w:t xml:space="preserve">), each of which require a time commitment. Taken from the </w:t>
      </w:r>
      <w:r w:rsidRPr="00656114">
        <w:rPr>
          <w:rFonts w:asciiTheme="minorBidi" w:hAnsiTheme="minorBidi"/>
          <w:b/>
          <w:sz w:val="24"/>
          <w:szCs w:val="24"/>
          <w:lang w:val="en-GB"/>
        </w:rPr>
        <w:t>perspective of a learner</w:t>
      </w:r>
      <w:r w:rsidRPr="00656114">
        <w:rPr>
          <w:rFonts w:asciiTheme="minorBidi" w:hAnsiTheme="minorBidi"/>
          <w:sz w:val="24"/>
          <w:szCs w:val="24"/>
          <w:lang w:val="en-GB"/>
        </w:rPr>
        <w:t xml:space="preserve">, the time commitment is how long it </w:t>
      </w:r>
      <w:r w:rsidRPr="00656114">
        <w:rPr>
          <w:rFonts w:asciiTheme="minorBidi" w:hAnsiTheme="minorBidi"/>
          <w:b/>
          <w:sz w:val="24"/>
          <w:szCs w:val="24"/>
          <w:lang w:val="en-GB"/>
        </w:rPr>
        <w:t>typically</w:t>
      </w:r>
      <w:r w:rsidRPr="00656114">
        <w:rPr>
          <w:rFonts w:asciiTheme="minorBidi" w:hAnsiTheme="minorBidi"/>
          <w:sz w:val="24"/>
          <w:szCs w:val="24"/>
          <w:lang w:val="en-GB"/>
        </w:rPr>
        <w:t xml:space="preserve"> takes to achieve all of the components of a qualification including assessment. As a base measure of this time commitment, the concept of learning hours is used. </w:t>
      </w:r>
    </w:p>
    <w:p w14:paraId="42F27FB1" w14:textId="72D523B8" w:rsidR="002E6226" w:rsidRPr="00656114" w:rsidRDefault="00C33215" w:rsidP="00FE7367">
      <w:pPr>
        <w:spacing w:line="276" w:lineRule="auto"/>
        <w:jc w:val="both"/>
        <w:rPr>
          <w:rFonts w:asciiTheme="minorBidi" w:hAnsiTheme="minorBidi"/>
          <w:sz w:val="24"/>
          <w:szCs w:val="24"/>
          <w:lang w:val="en-GB"/>
        </w:rPr>
      </w:pPr>
      <w:r w:rsidRPr="00656114">
        <w:rPr>
          <w:rFonts w:asciiTheme="minorBidi" w:hAnsiTheme="minorBidi"/>
          <w:sz w:val="24"/>
          <w:szCs w:val="24"/>
          <w:lang w:val="en-GB"/>
        </w:rPr>
        <w:t xml:space="preserve">Credits could also be used as the basis to define progression pathways. For example, entry into a qualification at a specific level of the NQFJ could be made dependent on a learner having completed a qualification at the preceding level with a minimum number of credits defined (as volume of learning). </w:t>
      </w:r>
      <w:r w:rsidRPr="00656114">
        <w:rPr>
          <w:rFonts w:asciiTheme="minorBidi" w:hAnsiTheme="minorBidi"/>
          <w:color w:val="211E1E"/>
          <w:sz w:val="24"/>
          <w:szCs w:val="24"/>
          <w:lang w:val="en-GB"/>
        </w:rPr>
        <w:t xml:space="preserve">Credits could also in the future form the basis for a common approach to RPL. Reference to credit level and credit volume could be made for deciding how much and at what level prior learning would be recognised. </w:t>
      </w:r>
      <w:bookmarkEnd w:id="0"/>
    </w:p>
    <w:sectPr w:rsidR="002E6226" w:rsidRPr="00656114" w:rsidSect="00FE7367">
      <w:headerReference w:type="default" r:id="rId12"/>
      <w:footerReference w:type="default" r:id="rId13"/>
      <w:pgSz w:w="11906" w:h="16838" w:code="9"/>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E425" w14:textId="77777777" w:rsidR="000505D8" w:rsidRDefault="000505D8" w:rsidP="00695E87">
      <w:pPr>
        <w:spacing w:after="0" w:line="240" w:lineRule="auto"/>
      </w:pPr>
      <w:r>
        <w:separator/>
      </w:r>
    </w:p>
  </w:endnote>
  <w:endnote w:type="continuationSeparator" w:id="0">
    <w:p w14:paraId="7A4DF7CB" w14:textId="77777777" w:rsidR="000505D8" w:rsidRDefault="000505D8" w:rsidP="0069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270"/>
      <w:gridCol w:w="3088"/>
      <w:gridCol w:w="476"/>
    </w:tblGrid>
    <w:tr w:rsidR="00326522" w:rsidRPr="00DF20CD" w14:paraId="1748C720" w14:textId="77777777" w:rsidTr="00326522">
      <w:tc>
        <w:tcPr>
          <w:tcW w:w="2826" w:type="dxa"/>
        </w:tcPr>
        <w:p w14:paraId="1A491B5F" w14:textId="77777777" w:rsidR="00326522" w:rsidRPr="00DF20CD" w:rsidRDefault="00326522" w:rsidP="00326522">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the project is implemented by</w:t>
          </w:r>
        </w:p>
        <w:p w14:paraId="01ABC1D7" w14:textId="77777777" w:rsidR="00326522" w:rsidRPr="00DF20CD" w:rsidRDefault="00326522" w:rsidP="00326522">
          <w:pPr>
            <w:tabs>
              <w:tab w:val="center" w:pos="4680"/>
              <w:tab w:val="right" w:pos="9360"/>
            </w:tabs>
            <w:rPr>
              <w:rFonts w:asciiTheme="minorBidi" w:hAnsiTheme="minorBidi"/>
              <w:sz w:val="18"/>
              <w:szCs w:val="18"/>
              <w:lang w:val="en-GB"/>
            </w:rPr>
          </w:pPr>
          <w:r w:rsidRPr="00DF20CD">
            <w:rPr>
              <w:rFonts w:asciiTheme="minorBidi" w:hAnsiTheme="minorBidi"/>
              <w:noProof/>
              <w:sz w:val="18"/>
              <w:szCs w:val="18"/>
            </w:rPr>
            <w:drawing>
              <wp:inline distT="0" distB="0" distL="0" distR="0" wp14:anchorId="5365952C" wp14:editId="7B18A268">
                <wp:extent cx="1628775" cy="447675"/>
                <wp:effectExtent l="19050" t="0" r="9525" b="0"/>
                <wp:docPr id="4" name="Picture 1" descr="http://safefoodfairfood.files.wordpress.com/2012/05/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foodfairfood.files.wordpress.com/2012/05/giz.jpg"/>
                        <pic:cNvPicPr>
                          <a:picLocks noChangeAspect="1" noChangeArrowheads="1"/>
                        </pic:cNvPicPr>
                      </pic:nvPicPr>
                      <pic:blipFill>
                        <a:blip r:embed="rId1" cstate="print">
                          <a:extLst>
                            <a:ext uri="{28A0092B-C50C-407E-A947-70E740481C1C}">
                              <a14:useLocalDpi xmlns:a14="http://schemas.microsoft.com/office/drawing/2010/main" val="0"/>
                            </a:ext>
                          </a:extLst>
                        </a:blip>
                        <a:srcRect l="4545" t="20482" r="9091" b="22891"/>
                        <a:stretch>
                          <a:fillRect/>
                        </a:stretch>
                      </pic:blipFill>
                      <pic:spPr bwMode="auto">
                        <a:xfrm>
                          <a:off x="0" y="0"/>
                          <a:ext cx="1628775" cy="447675"/>
                        </a:xfrm>
                        <a:prstGeom prst="rect">
                          <a:avLst/>
                        </a:prstGeom>
                        <a:noFill/>
                        <a:ln>
                          <a:noFill/>
                        </a:ln>
                      </pic:spPr>
                    </pic:pic>
                  </a:graphicData>
                </a:graphic>
              </wp:inline>
            </w:drawing>
          </w:r>
        </w:p>
      </w:tc>
      <w:tc>
        <w:tcPr>
          <w:tcW w:w="3270" w:type="dxa"/>
        </w:tcPr>
        <w:p w14:paraId="3537FCAB" w14:textId="77777777" w:rsidR="00326522" w:rsidRPr="00DF20CD" w:rsidRDefault="00326522" w:rsidP="00326522">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Moh'dBaseem Al-Khammash St.13</w:t>
          </w:r>
        </w:p>
        <w:p w14:paraId="3FE5025E" w14:textId="77777777" w:rsidR="00326522" w:rsidRPr="00DF20CD" w:rsidRDefault="00326522" w:rsidP="00326522">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P.O. Box 92 62 38</w:t>
          </w:r>
        </w:p>
        <w:p w14:paraId="4F989D40" w14:textId="77777777" w:rsidR="00326522" w:rsidRPr="00DF20CD" w:rsidRDefault="00326522" w:rsidP="00326522">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Sweifieh, Amman 11190</w:t>
          </w:r>
        </w:p>
        <w:p w14:paraId="2CD57692" w14:textId="77777777" w:rsidR="00326522" w:rsidRPr="00DF20CD" w:rsidRDefault="00326522" w:rsidP="00326522">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HK of Jordan</w:t>
          </w:r>
        </w:p>
      </w:tc>
      <w:tc>
        <w:tcPr>
          <w:tcW w:w="3088" w:type="dxa"/>
        </w:tcPr>
        <w:p w14:paraId="14327C1C" w14:textId="77777777" w:rsidR="00326522" w:rsidRPr="00DF20CD" w:rsidRDefault="00326522" w:rsidP="00326522">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T +962 6 586 8773 / 8090 / 8089</w:t>
          </w:r>
        </w:p>
        <w:p w14:paraId="6FCFF312" w14:textId="77777777" w:rsidR="00326522" w:rsidRPr="00DF20CD" w:rsidRDefault="00326522" w:rsidP="00326522">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F +962 6 581 98 63</w:t>
          </w:r>
        </w:p>
        <w:p w14:paraId="17ACDC86" w14:textId="77777777" w:rsidR="00326522" w:rsidRPr="00DF20CD" w:rsidRDefault="00326522" w:rsidP="00326522">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E giz-jordanien@giz.de</w:t>
          </w:r>
        </w:p>
        <w:p w14:paraId="5D94B235" w14:textId="77777777" w:rsidR="00326522" w:rsidRPr="00DF20CD" w:rsidRDefault="00326522" w:rsidP="00326522">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I www.giz.de</w:t>
          </w:r>
        </w:p>
      </w:tc>
      <w:tc>
        <w:tcPr>
          <w:tcW w:w="476" w:type="dxa"/>
        </w:tcPr>
        <w:sdt>
          <w:sdtPr>
            <w:rPr>
              <w:rFonts w:asciiTheme="minorBidi" w:hAnsiTheme="minorBidi"/>
              <w:sz w:val="18"/>
              <w:szCs w:val="18"/>
              <w:lang w:val="en-GB"/>
            </w:rPr>
            <w:id w:val="1167442717"/>
            <w:docPartObj>
              <w:docPartGallery w:val="Page Numbers (Bottom of Page)"/>
              <w:docPartUnique/>
            </w:docPartObj>
          </w:sdtPr>
          <w:sdtEndPr/>
          <w:sdtContent>
            <w:p w14:paraId="2C857791" w14:textId="7CCFEAC3" w:rsidR="00326522" w:rsidRPr="00DF20CD" w:rsidRDefault="00326522" w:rsidP="00326522">
              <w:pPr>
                <w:tabs>
                  <w:tab w:val="center" w:pos="4680"/>
                  <w:tab w:val="right" w:pos="9360"/>
                </w:tabs>
                <w:jc w:val="right"/>
                <w:rPr>
                  <w:rFonts w:asciiTheme="minorBidi" w:hAnsiTheme="minorBidi"/>
                  <w:b/>
                  <w:sz w:val="18"/>
                  <w:szCs w:val="18"/>
                  <w:lang w:val="en-GB" w:eastAsia="zh-TW"/>
                </w:rPr>
              </w:pPr>
              <w:r w:rsidRPr="00DF20CD">
                <w:rPr>
                  <w:rFonts w:asciiTheme="minorBidi" w:hAnsiTheme="minorBidi"/>
                  <w:sz w:val="18"/>
                  <w:szCs w:val="18"/>
                  <w:lang w:val="en-GB"/>
                </w:rPr>
                <w:fldChar w:fldCharType="begin"/>
              </w:r>
              <w:r w:rsidRPr="00DF20CD">
                <w:rPr>
                  <w:rFonts w:asciiTheme="minorBidi" w:hAnsiTheme="minorBidi"/>
                  <w:sz w:val="18"/>
                  <w:szCs w:val="18"/>
                  <w:lang w:val="en-GB"/>
                </w:rPr>
                <w:instrText xml:space="preserve"> PAGE   \* MERGEFORMAT </w:instrText>
              </w:r>
              <w:r w:rsidRPr="00DF20CD">
                <w:rPr>
                  <w:rFonts w:asciiTheme="minorBidi" w:hAnsiTheme="minorBidi"/>
                  <w:sz w:val="18"/>
                  <w:szCs w:val="18"/>
                  <w:lang w:val="en-GB"/>
                </w:rPr>
                <w:fldChar w:fldCharType="separate"/>
              </w:r>
              <w:r w:rsidR="00656114">
                <w:rPr>
                  <w:rFonts w:asciiTheme="minorBidi" w:hAnsiTheme="minorBidi"/>
                  <w:noProof/>
                  <w:sz w:val="18"/>
                  <w:szCs w:val="18"/>
                  <w:lang w:val="en-GB"/>
                </w:rPr>
                <w:t>1</w:t>
              </w:r>
              <w:r w:rsidRPr="00DF20CD">
                <w:rPr>
                  <w:rFonts w:asciiTheme="minorBidi" w:hAnsiTheme="minorBidi"/>
                  <w:sz w:val="18"/>
                  <w:szCs w:val="18"/>
                  <w:lang w:val="en-GB"/>
                </w:rPr>
                <w:fldChar w:fldCharType="end"/>
              </w:r>
            </w:p>
          </w:sdtContent>
        </w:sdt>
      </w:tc>
    </w:tr>
  </w:tbl>
  <w:p w14:paraId="5E0BDB1C" w14:textId="77777777" w:rsidR="00326522" w:rsidRDefault="00326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BBB16" w14:textId="77777777" w:rsidR="000505D8" w:rsidRDefault="000505D8" w:rsidP="00695E87">
      <w:pPr>
        <w:spacing w:after="0" w:line="240" w:lineRule="auto"/>
      </w:pPr>
      <w:r>
        <w:separator/>
      </w:r>
    </w:p>
  </w:footnote>
  <w:footnote w:type="continuationSeparator" w:id="0">
    <w:p w14:paraId="358F32E2" w14:textId="77777777" w:rsidR="000505D8" w:rsidRDefault="000505D8" w:rsidP="00695E87">
      <w:pPr>
        <w:spacing w:after="0" w:line="240" w:lineRule="auto"/>
      </w:pPr>
      <w:r>
        <w:continuationSeparator/>
      </w:r>
    </w:p>
  </w:footnote>
  <w:footnote w:id="1">
    <w:p w14:paraId="23C01DDA" w14:textId="601C4EE2" w:rsidR="00326522" w:rsidRPr="00C3310E" w:rsidRDefault="00326522" w:rsidP="008C0774">
      <w:pPr>
        <w:pStyle w:val="FootnoteText"/>
        <w:rPr>
          <w:rFonts w:ascii="Times New Roman" w:hAnsi="Times New Roman" w:cs="Times New Roman"/>
          <w:lang w:val="en-GB"/>
        </w:rPr>
      </w:pPr>
      <w:r w:rsidRPr="00C3310E">
        <w:rPr>
          <w:rStyle w:val="FootnoteReference"/>
          <w:rFonts w:ascii="Times New Roman" w:hAnsi="Times New Roman" w:cs="Times New Roman"/>
        </w:rPr>
        <w:footnoteRef/>
      </w:r>
      <w:r w:rsidRPr="00C3310E">
        <w:rPr>
          <w:rFonts w:ascii="Times New Roman" w:hAnsi="Times New Roman" w:cs="Times New Roman"/>
        </w:rPr>
        <w:t xml:space="preserve"> </w:t>
      </w:r>
      <w:r w:rsidRPr="00C3310E">
        <w:rPr>
          <w:rFonts w:ascii="Times New Roman" w:hAnsi="Times New Roman" w:cs="Times New Roman"/>
          <w:lang w:val="en-GB"/>
        </w:rPr>
        <w:t>A typical learner is a representative learner of most of learners. So, it is not an exceptionally talented or a slower learner. In statistical terms this would be a median learner.</w:t>
      </w:r>
    </w:p>
  </w:footnote>
  <w:footnote w:id="2">
    <w:p w14:paraId="75215277" w14:textId="4CF7F91B" w:rsidR="00326522" w:rsidRPr="00C3310E" w:rsidRDefault="00326522" w:rsidP="008C0774">
      <w:pPr>
        <w:pStyle w:val="FootnoteText"/>
        <w:rPr>
          <w:rFonts w:ascii="Times New Roman" w:hAnsi="Times New Roman" w:cs="Times New Roman"/>
          <w:lang w:val="en-GB"/>
        </w:rPr>
      </w:pPr>
      <w:r w:rsidRPr="00C3310E">
        <w:rPr>
          <w:rStyle w:val="FootnoteReference"/>
          <w:rFonts w:ascii="Times New Roman" w:hAnsi="Times New Roman" w:cs="Times New Roman"/>
        </w:rPr>
        <w:footnoteRef/>
      </w:r>
      <w:r w:rsidRPr="00C3310E">
        <w:rPr>
          <w:rFonts w:ascii="Times New Roman" w:hAnsi="Times New Roman" w:cs="Times New Roman"/>
        </w:rPr>
        <w:t xml:space="preserve"> </w:t>
      </w:r>
      <w:r w:rsidR="00C3310E">
        <w:rPr>
          <w:rFonts w:ascii="Times New Roman" w:hAnsi="Times New Roman" w:cs="Times New Roman"/>
        </w:rPr>
        <w:t>T</w:t>
      </w:r>
      <w:r w:rsidRPr="00C3310E">
        <w:rPr>
          <w:rFonts w:ascii="Times New Roman" w:hAnsi="Times New Roman" w:cs="Times New Roman"/>
        </w:rPr>
        <w:t>he methods of attributing learning credits are not clear from the published documents</w:t>
      </w:r>
    </w:p>
  </w:footnote>
  <w:footnote w:id="3">
    <w:p w14:paraId="1A659C23" w14:textId="21BB70F7" w:rsidR="00326522" w:rsidRPr="00BD62C7" w:rsidRDefault="00326522" w:rsidP="008C0774">
      <w:pPr>
        <w:pStyle w:val="FootnoteText"/>
        <w:rPr>
          <w:lang w:val="en-GB"/>
        </w:rPr>
      </w:pPr>
      <w:r>
        <w:rPr>
          <w:rStyle w:val="FootnoteReference"/>
        </w:rPr>
        <w:footnoteRef/>
      </w:r>
      <w:r>
        <w:t xml:space="preserve"> </w:t>
      </w:r>
      <w:r w:rsidR="00C3310E">
        <w:t>T</w:t>
      </w:r>
      <w:r w:rsidRPr="00C3310E">
        <w:rPr>
          <w:rFonts w:ascii="Times New Roman" w:hAnsi="Times New Roman" w:cs="Times New Roman"/>
        </w:rPr>
        <w:t>he methods of attributing learning credits are not clear from the published documents</w:t>
      </w:r>
    </w:p>
  </w:footnote>
  <w:footnote w:id="4">
    <w:p w14:paraId="4723BCC3" w14:textId="270F055E" w:rsidR="00326522" w:rsidRPr="00FE7367" w:rsidRDefault="00326522" w:rsidP="008C0774">
      <w:pPr>
        <w:pStyle w:val="FootnoteText"/>
        <w:rPr>
          <w:rFonts w:ascii="Times New Roman" w:hAnsi="Times New Roman" w:cs="Times New Roman"/>
          <w:lang w:val="en-GB"/>
        </w:rPr>
      </w:pPr>
      <w:r w:rsidRPr="00FE7367">
        <w:rPr>
          <w:rStyle w:val="FootnoteReference"/>
          <w:rFonts w:ascii="Times New Roman" w:hAnsi="Times New Roman" w:cs="Times New Roman"/>
        </w:rPr>
        <w:footnoteRef/>
      </w:r>
      <w:r w:rsidRPr="00FE7367">
        <w:rPr>
          <w:rFonts w:ascii="Times New Roman" w:hAnsi="Times New Roman" w:cs="Times New Roman"/>
        </w:rPr>
        <w:t xml:space="preserve"> </w:t>
      </w:r>
      <w:r w:rsidRPr="00FE7367">
        <w:rPr>
          <w:rFonts w:ascii="Times New Roman" w:hAnsi="Times New Roman" w:cs="Times New Roman"/>
          <w:lang w:val="en-GB"/>
        </w:rPr>
        <w:t>A typical learner is a representative learner of most of learners. So, it is not an exceptionally talented or a slower learner. In statistical terms this would be a median learner.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47D2" w14:textId="77777777" w:rsidR="00326522" w:rsidRPr="00DF20CD" w:rsidRDefault="00326522" w:rsidP="00326522">
    <w:pPr>
      <w:spacing w:after="40" w:line="240" w:lineRule="auto"/>
      <w:jc w:val="center"/>
      <w:rPr>
        <w:rFonts w:ascii="Arial" w:hAnsi="Arial" w:cs="Arial"/>
        <w:b/>
        <w:bCs/>
        <w:sz w:val="20"/>
        <w:szCs w:val="20"/>
        <w:lang w:val="en-GB"/>
      </w:rPr>
    </w:pPr>
    <w:r w:rsidRPr="00DF20CD">
      <w:rPr>
        <w:rFonts w:ascii="Arial" w:hAnsi="Arial" w:cs="Arial"/>
        <w:noProof/>
        <w:sz w:val="20"/>
        <w:szCs w:val="20"/>
      </w:rPr>
      <w:drawing>
        <wp:anchor distT="0" distB="0" distL="114300" distR="114300" simplePos="0" relativeHeight="251661312" behindDoc="0" locked="0" layoutInCell="1" allowOverlap="1" wp14:anchorId="7F0AB4BB" wp14:editId="58C46F28">
          <wp:simplePos x="0" y="0"/>
          <wp:positionH relativeFrom="margin">
            <wp:align>right</wp:align>
          </wp:positionH>
          <wp:positionV relativeFrom="topMargin">
            <wp:posOffset>476250</wp:posOffset>
          </wp:positionV>
          <wp:extent cx="914400" cy="542925"/>
          <wp:effectExtent l="0" t="0" r="0" b="9525"/>
          <wp:wrapSquare wrapText="bothSides"/>
          <wp:docPr id="2"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noProof/>
        <w:sz w:val="20"/>
        <w:szCs w:val="20"/>
      </w:rPr>
      <w:drawing>
        <wp:anchor distT="0" distB="0" distL="114300" distR="114300" simplePos="0" relativeHeight="251659264" behindDoc="0" locked="0" layoutInCell="1" allowOverlap="1" wp14:anchorId="02E929E0" wp14:editId="45F82FC5">
          <wp:simplePos x="0" y="0"/>
          <wp:positionH relativeFrom="margin">
            <wp:align>left</wp:align>
          </wp:positionH>
          <wp:positionV relativeFrom="topMargin">
            <wp:posOffset>476250</wp:posOffset>
          </wp:positionV>
          <wp:extent cx="914400" cy="552450"/>
          <wp:effectExtent l="19050" t="0" r="0" b="0"/>
          <wp:wrapSquare wrapText="bothSides"/>
          <wp:docPr id="3" name="Picture 3" descr="http://www.aegis-itn.eu/fileadmin/user_upload/logo-EU.jp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b/>
        <w:bCs/>
        <w:sz w:val="20"/>
        <w:szCs w:val="20"/>
        <w:lang w:val="en-GB"/>
      </w:rPr>
      <w:t>EU Funded Project “Technical Assistance to the Skills for Employment and Social Inclusion Programme”</w:t>
    </w:r>
  </w:p>
  <w:p w14:paraId="1C4D27B2" w14:textId="77777777" w:rsidR="00326522" w:rsidRPr="00DF20CD" w:rsidRDefault="00326522" w:rsidP="00326522">
    <w:pPr>
      <w:tabs>
        <w:tab w:val="center" w:pos="4680"/>
        <w:tab w:val="right" w:pos="9360"/>
      </w:tabs>
      <w:bidi/>
      <w:spacing w:after="0" w:line="240" w:lineRule="auto"/>
      <w:jc w:val="center"/>
      <w:rPr>
        <w:b/>
        <w:bCs/>
        <w:sz w:val="24"/>
        <w:szCs w:val="24"/>
        <w:lang w:val="en-GB"/>
      </w:rPr>
    </w:pPr>
    <w:r w:rsidRPr="00DF20CD">
      <w:rPr>
        <w:b/>
        <w:bCs/>
        <w:noProof/>
        <w:sz w:val="24"/>
        <w:szCs w:val="24"/>
      </w:rPr>
      <mc:AlternateContent>
        <mc:Choice Requires="wps">
          <w:drawing>
            <wp:anchor distT="0" distB="0" distL="114300" distR="114300" simplePos="0" relativeHeight="251660288" behindDoc="0" locked="0" layoutInCell="1" allowOverlap="1" wp14:anchorId="5D4D77A7" wp14:editId="7FF41F66">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EEA752"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"/>
          </w:pict>
        </mc:Fallback>
      </mc:AlternateContent>
    </w:r>
    <w:r w:rsidRPr="00DF20CD">
      <w:rPr>
        <w:rFonts w:hint="cs"/>
        <w:b/>
        <w:bCs/>
        <w:sz w:val="24"/>
        <w:szCs w:val="24"/>
        <w:rtl/>
        <w:lang w:val="en-GB" w:bidi="ar-JO"/>
      </w:rPr>
      <w:t>المشروع الاوروبي " الدعم الفني لبرنامج المهارات للتشغيل والاندماج الاجتماعي"</w:t>
    </w:r>
    <w:r w:rsidRPr="00DF20CD">
      <w:rPr>
        <w:b/>
        <w:bCs/>
        <w:sz w:val="24"/>
        <w:szCs w:val="24"/>
        <w:rtl/>
        <w:lang w:val="en-GB"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9A4"/>
    <w:multiLevelType w:val="multilevel"/>
    <w:tmpl w:val="4412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12343"/>
    <w:multiLevelType w:val="hybridMultilevel"/>
    <w:tmpl w:val="D3FE2FC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537B8"/>
    <w:multiLevelType w:val="hybridMultilevel"/>
    <w:tmpl w:val="AA62F4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10674"/>
    <w:multiLevelType w:val="multilevel"/>
    <w:tmpl w:val="726A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56DC9"/>
    <w:multiLevelType w:val="hybridMultilevel"/>
    <w:tmpl w:val="EC3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31E2B"/>
    <w:multiLevelType w:val="hybridMultilevel"/>
    <w:tmpl w:val="570A9844"/>
    <w:lvl w:ilvl="0" w:tplc="04090001">
      <w:start w:val="1"/>
      <w:numFmt w:val="bullet"/>
      <w:lvlText w:val=""/>
      <w:lvlJc w:val="left"/>
      <w:pPr>
        <w:ind w:left="853" w:hanging="360"/>
      </w:pPr>
      <w:rPr>
        <w:rFonts w:ascii="Symbol" w:hAnsi="Symbol" w:hint="default"/>
      </w:rPr>
    </w:lvl>
    <w:lvl w:ilvl="1" w:tplc="0C090003">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6" w15:restartNumberingAfterBreak="0">
    <w:nsid w:val="07BB40CB"/>
    <w:multiLevelType w:val="hybridMultilevel"/>
    <w:tmpl w:val="B55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5AF"/>
    <w:multiLevelType w:val="hybridMultilevel"/>
    <w:tmpl w:val="346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526B2"/>
    <w:multiLevelType w:val="hybridMultilevel"/>
    <w:tmpl w:val="138C5F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74640"/>
    <w:multiLevelType w:val="hybridMultilevel"/>
    <w:tmpl w:val="9C90E6D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404306"/>
    <w:multiLevelType w:val="multilevel"/>
    <w:tmpl w:val="4634AD9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A6710C6"/>
    <w:multiLevelType w:val="hybridMultilevel"/>
    <w:tmpl w:val="835CD07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D27EF5"/>
    <w:multiLevelType w:val="hybridMultilevel"/>
    <w:tmpl w:val="A75AC0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513F1"/>
    <w:multiLevelType w:val="hybridMultilevel"/>
    <w:tmpl w:val="5016C6B0"/>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264D0185"/>
    <w:multiLevelType w:val="hybridMultilevel"/>
    <w:tmpl w:val="1C58CB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0375E6"/>
    <w:multiLevelType w:val="hybridMultilevel"/>
    <w:tmpl w:val="9CF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0FA1"/>
    <w:multiLevelType w:val="hybridMultilevel"/>
    <w:tmpl w:val="6ADAB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453C5"/>
    <w:multiLevelType w:val="hybridMultilevel"/>
    <w:tmpl w:val="FC60A6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F066AE"/>
    <w:multiLevelType w:val="hybridMultilevel"/>
    <w:tmpl w:val="C28C110E"/>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19" w15:restartNumberingAfterBreak="0">
    <w:nsid w:val="3B1132CB"/>
    <w:multiLevelType w:val="multilevel"/>
    <w:tmpl w:val="5720FC3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0" w15:restartNumberingAfterBreak="0">
    <w:nsid w:val="3BAC06CD"/>
    <w:multiLevelType w:val="hybridMultilevel"/>
    <w:tmpl w:val="50B6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E1EE8"/>
    <w:multiLevelType w:val="hybridMultilevel"/>
    <w:tmpl w:val="A29E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12909"/>
    <w:multiLevelType w:val="hybridMultilevel"/>
    <w:tmpl w:val="B35A31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196BD5"/>
    <w:multiLevelType w:val="hybridMultilevel"/>
    <w:tmpl w:val="55A0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80259"/>
    <w:multiLevelType w:val="hybridMultilevel"/>
    <w:tmpl w:val="8C2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6425A"/>
    <w:multiLevelType w:val="hybridMultilevel"/>
    <w:tmpl w:val="5C2EEA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9C0A9F"/>
    <w:multiLevelType w:val="multilevel"/>
    <w:tmpl w:val="673CE7B4"/>
    <w:lvl w:ilvl="0">
      <w:start w:val="10"/>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6F4F4C"/>
    <w:multiLevelType w:val="hybridMultilevel"/>
    <w:tmpl w:val="CB38A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E7B45"/>
    <w:multiLevelType w:val="hybridMultilevel"/>
    <w:tmpl w:val="2FEA93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5B23A6"/>
    <w:multiLevelType w:val="hybridMultilevel"/>
    <w:tmpl w:val="9ED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E02EC"/>
    <w:multiLevelType w:val="multilevel"/>
    <w:tmpl w:val="9D6E0704"/>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1" w15:restartNumberingAfterBreak="0">
    <w:nsid w:val="5C963470"/>
    <w:multiLevelType w:val="hybridMultilevel"/>
    <w:tmpl w:val="CAA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85A29"/>
    <w:multiLevelType w:val="multilevel"/>
    <w:tmpl w:val="5FA483DA"/>
    <w:lvl w:ilvl="0">
      <w:start w:val="3"/>
      <w:numFmt w:val="upperRoman"/>
      <w:lvlText w:val="%1."/>
      <w:lvlJc w:val="right"/>
      <w:pPr>
        <w:tabs>
          <w:tab w:val="num" w:pos="720"/>
        </w:tabs>
        <w:ind w:left="720" w:hanging="360"/>
      </w:pPr>
      <w:rPr>
        <w:sz w:val="24"/>
        <w:szCs w:val="24"/>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3" w15:restartNumberingAfterBreak="0">
    <w:nsid w:val="5E913A4D"/>
    <w:multiLevelType w:val="hybridMultilevel"/>
    <w:tmpl w:val="BF7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25BA0"/>
    <w:multiLevelType w:val="hybridMultilevel"/>
    <w:tmpl w:val="AD6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70D68"/>
    <w:multiLevelType w:val="multilevel"/>
    <w:tmpl w:val="F8E2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99434F"/>
    <w:multiLevelType w:val="hybridMultilevel"/>
    <w:tmpl w:val="FB90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432C0"/>
    <w:multiLevelType w:val="multilevel"/>
    <w:tmpl w:val="4D9E3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EE0A6A"/>
    <w:multiLevelType w:val="hybridMultilevel"/>
    <w:tmpl w:val="8EF6D8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4A630E"/>
    <w:multiLevelType w:val="hybridMultilevel"/>
    <w:tmpl w:val="9B72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C367E7"/>
    <w:multiLevelType w:val="multilevel"/>
    <w:tmpl w:val="CB7E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A6FFA"/>
    <w:multiLevelType w:val="multilevel"/>
    <w:tmpl w:val="424A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9D4A1D"/>
    <w:multiLevelType w:val="hybridMultilevel"/>
    <w:tmpl w:val="DCF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90134"/>
    <w:multiLevelType w:val="hybridMultilevel"/>
    <w:tmpl w:val="51E2D026"/>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44" w15:restartNumberingAfterBreak="0">
    <w:nsid w:val="79050601"/>
    <w:multiLevelType w:val="hybridMultilevel"/>
    <w:tmpl w:val="F39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E653F"/>
    <w:multiLevelType w:val="hybridMultilevel"/>
    <w:tmpl w:val="42B215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182544"/>
    <w:multiLevelType w:val="hybridMultilevel"/>
    <w:tmpl w:val="8FECE64A"/>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7" w15:restartNumberingAfterBreak="0">
    <w:nsid w:val="7FFD63FE"/>
    <w:multiLevelType w:val="hybridMultilevel"/>
    <w:tmpl w:val="37ECDB5E"/>
    <w:lvl w:ilvl="0" w:tplc="04090005">
      <w:start w:val="1"/>
      <w:numFmt w:val="bullet"/>
      <w:lvlText w:val=""/>
      <w:lvlJc w:val="left"/>
      <w:pPr>
        <w:ind w:left="360" w:hanging="360"/>
      </w:pPr>
      <w:rPr>
        <w:rFonts w:ascii="Wingdings" w:hAnsi="Wingdings" w:hint="default"/>
      </w:rPr>
    </w:lvl>
    <w:lvl w:ilvl="1" w:tplc="6848EEE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6"/>
  </w:num>
  <w:num w:numId="3">
    <w:abstractNumId w:val="33"/>
  </w:num>
  <w:num w:numId="4">
    <w:abstractNumId w:val="31"/>
  </w:num>
  <w:num w:numId="5">
    <w:abstractNumId w:val="17"/>
  </w:num>
  <w:num w:numId="6">
    <w:abstractNumId w:val="1"/>
  </w:num>
  <w:num w:numId="7">
    <w:abstractNumId w:val="9"/>
  </w:num>
  <w:num w:numId="8">
    <w:abstractNumId w:val="12"/>
  </w:num>
  <w:num w:numId="9">
    <w:abstractNumId w:val="22"/>
  </w:num>
  <w:num w:numId="10">
    <w:abstractNumId w:val="43"/>
  </w:num>
  <w:num w:numId="11">
    <w:abstractNumId w:val="28"/>
  </w:num>
  <w:num w:numId="12">
    <w:abstractNumId w:val="11"/>
  </w:num>
  <w:num w:numId="13">
    <w:abstractNumId w:val="5"/>
  </w:num>
  <w:num w:numId="14">
    <w:abstractNumId w:val="8"/>
  </w:num>
  <w:num w:numId="15">
    <w:abstractNumId w:val="18"/>
  </w:num>
  <w:num w:numId="16">
    <w:abstractNumId w:val="46"/>
  </w:num>
  <w:num w:numId="17">
    <w:abstractNumId w:val="13"/>
  </w:num>
  <w:num w:numId="18">
    <w:abstractNumId w:val="45"/>
  </w:num>
  <w:num w:numId="19">
    <w:abstractNumId w:val="2"/>
  </w:num>
  <w:num w:numId="20">
    <w:abstractNumId w:val="14"/>
  </w:num>
  <w:num w:numId="21">
    <w:abstractNumId w:val="42"/>
  </w:num>
  <w:num w:numId="22">
    <w:abstractNumId w:val="24"/>
  </w:num>
  <w:num w:numId="23">
    <w:abstractNumId w:val="26"/>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6"/>
  </w:num>
  <w:num w:numId="29">
    <w:abstractNumId w:val="47"/>
  </w:num>
  <w:num w:numId="30">
    <w:abstractNumId w:val="27"/>
  </w:num>
  <w:num w:numId="31">
    <w:abstractNumId w:val="38"/>
  </w:num>
  <w:num w:numId="32">
    <w:abstractNumId w:val="39"/>
  </w:num>
  <w:num w:numId="33">
    <w:abstractNumId w:val="16"/>
  </w:num>
  <w:num w:numId="34">
    <w:abstractNumId w:val="25"/>
  </w:num>
  <w:num w:numId="35">
    <w:abstractNumId w:val="20"/>
  </w:num>
  <w:num w:numId="36">
    <w:abstractNumId w:val="23"/>
  </w:num>
  <w:num w:numId="37">
    <w:abstractNumId w:val="34"/>
  </w:num>
  <w:num w:numId="38">
    <w:abstractNumId w:val="21"/>
  </w:num>
  <w:num w:numId="39">
    <w:abstractNumId w:val="7"/>
  </w:num>
  <w:num w:numId="40">
    <w:abstractNumId w:val="29"/>
  </w:num>
  <w:num w:numId="41">
    <w:abstractNumId w:val="4"/>
  </w:num>
  <w:num w:numId="42">
    <w:abstractNumId w:val="15"/>
  </w:num>
  <w:num w:numId="43">
    <w:abstractNumId w:val="35"/>
  </w:num>
  <w:num w:numId="44">
    <w:abstractNumId w:val="40"/>
  </w:num>
  <w:num w:numId="45">
    <w:abstractNumId w:val="37"/>
  </w:num>
  <w:num w:numId="46">
    <w:abstractNumId w:val="0"/>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11"/>
    <w:rsid w:val="00040F98"/>
    <w:rsid w:val="000505D8"/>
    <w:rsid w:val="00131EFF"/>
    <w:rsid w:val="0019589E"/>
    <w:rsid w:val="001F40E2"/>
    <w:rsid w:val="0020216D"/>
    <w:rsid w:val="0022543A"/>
    <w:rsid w:val="002E6226"/>
    <w:rsid w:val="00300C3E"/>
    <w:rsid w:val="00326522"/>
    <w:rsid w:val="003675E4"/>
    <w:rsid w:val="00401B7C"/>
    <w:rsid w:val="00430F27"/>
    <w:rsid w:val="00431BC8"/>
    <w:rsid w:val="0049260B"/>
    <w:rsid w:val="004C5BF3"/>
    <w:rsid w:val="004F3B35"/>
    <w:rsid w:val="00503828"/>
    <w:rsid w:val="00546859"/>
    <w:rsid w:val="00547022"/>
    <w:rsid w:val="00600538"/>
    <w:rsid w:val="00656114"/>
    <w:rsid w:val="00684666"/>
    <w:rsid w:val="00695E87"/>
    <w:rsid w:val="006A743D"/>
    <w:rsid w:val="007B2798"/>
    <w:rsid w:val="00821EE6"/>
    <w:rsid w:val="00845027"/>
    <w:rsid w:val="00862940"/>
    <w:rsid w:val="00873734"/>
    <w:rsid w:val="008C0774"/>
    <w:rsid w:val="008F2563"/>
    <w:rsid w:val="00926A38"/>
    <w:rsid w:val="00A25467"/>
    <w:rsid w:val="00A2570B"/>
    <w:rsid w:val="00AA3FCD"/>
    <w:rsid w:val="00AB71F3"/>
    <w:rsid w:val="00B82BC9"/>
    <w:rsid w:val="00BB3E5B"/>
    <w:rsid w:val="00C3310E"/>
    <w:rsid w:val="00C33215"/>
    <w:rsid w:val="00C5510D"/>
    <w:rsid w:val="00CB453E"/>
    <w:rsid w:val="00CC3AA5"/>
    <w:rsid w:val="00D8774C"/>
    <w:rsid w:val="00DC68B6"/>
    <w:rsid w:val="00E65411"/>
    <w:rsid w:val="00ED2488"/>
    <w:rsid w:val="00ED441B"/>
    <w:rsid w:val="00ED6487"/>
    <w:rsid w:val="00F04782"/>
    <w:rsid w:val="00FE73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EC8C"/>
  <w15:chartTrackingRefBased/>
  <w15:docId w15:val="{01430A0A-96DA-1748-B5D4-FE56C5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11"/>
    <w:pPr>
      <w:spacing w:after="160" w:line="259" w:lineRule="auto"/>
    </w:pPr>
    <w:rPr>
      <w:sz w:val="22"/>
      <w:szCs w:val="22"/>
      <w:lang w:val="en-US"/>
    </w:rPr>
  </w:style>
  <w:style w:type="paragraph" w:styleId="Heading1">
    <w:name w:val="heading 1"/>
    <w:basedOn w:val="Normal"/>
    <w:next w:val="Normal"/>
    <w:link w:val="Heading1Char"/>
    <w:uiPriority w:val="9"/>
    <w:qFormat/>
    <w:rsid w:val="00E65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07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11"/>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E6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11"/>
    <w:rPr>
      <w:sz w:val="22"/>
      <w:szCs w:val="22"/>
      <w:lang w:val="en-US"/>
    </w:rPr>
  </w:style>
  <w:style w:type="table" w:styleId="TableGrid">
    <w:name w:val="Table Grid"/>
    <w:basedOn w:val="TableNormal"/>
    <w:uiPriority w:val="39"/>
    <w:rsid w:val="00E6541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Dot pt"/>
    <w:basedOn w:val="Normal"/>
    <w:link w:val="ListParagraphChar"/>
    <w:uiPriority w:val="34"/>
    <w:qFormat/>
    <w:rsid w:val="00E65411"/>
    <w:pPr>
      <w:ind w:left="720"/>
      <w:contextualSpacing/>
    </w:pPr>
  </w:style>
  <w:style w:type="character" w:customStyle="1" w:styleId="Heading1Char">
    <w:name w:val="Heading 1 Char"/>
    <w:basedOn w:val="DefaultParagraphFont"/>
    <w:link w:val="Heading1"/>
    <w:uiPriority w:val="9"/>
    <w:rsid w:val="00E65411"/>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E65411"/>
    <w:pPr>
      <w:outlineLvl w:val="9"/>
    </w:pPr>
  </w:style>
  <w:style w:type="character" w:styleId="Hyperlink">
    <w:name w:val="Hyperlink"/>
    <w:basedOn w:val="DefaultParagraphFont"/>
    <w:uiPriority w:val="99"/>
    <w:unhideWhenUsed/>
    <w:rsid w:val="00E65411"/>
    <w:rPr>
      <w:color w:val="0563C1" w:themeColor="hyperlink"/>
      <w:u w:val="single"/>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E65411"/>
    <w:rPr>
      <w:sz w:val="22"/>
      <w:szCs w:val="22"/>
      <w:lang w:val="en-US"/>
    </w:rPr>
  </w:style>
  <w:style w:type="paragraph" w:styleId="FootnoteText">
    <w:name w:val="footnote text"/>
    <w:basedOn w:val="Normal"/>
    <w:link w:val="FootnoteTextChar"/>
    <w:uiPriority w:val="99"/>
    <w:unhideWhenUsed/>
    <w:rsid w:val="00695E87"/>
    <w:pPr>
      <w:spacing w:after="200" w:line="276"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rsid w:val="00695E87"/>
    <w:rPr>
      <w:rFonts w:ascii="Calibri" w:eastAsia="Calibri" w:hAnsi="Calibri" w:cs="Arial"/>
      <w:sz w:val="20"/>
      <w:szCs w:val="20"/>
      <w:lang w:val="en-AU"/>
    </w:rPr>
  </w:style>
  <w:style w:type="character" w:styleId="FootnoteReference">
    <w:name w:val="footnote reference"/>
    <w:basedOn w:val="DefaultParagraphFont"/>
    <w:uiPriority w:val="99"/>
    <w:unhideWhenUsed/>
    <w:rsid w:val="00695E87"/>
    <w:rPr>
      <w:vertAlign w:val="superscript"/>
    </w:rPr>
  </w:style>
  <w:style w:type="character" w:customStyle="1" w:styleId="Heading3Char">
    <w:name w:val="Heading 3 Char"/>
    <w:basedOn w:val="DefaultParagraphFont"/>
    <w:link w:val="Heading3"/>
    <w:uiPriority w:val="9"/>
    <w:semiHidden/>
    <w:rsid w:val="008C0774"/>
    <w:rPr>
      <w:rFonts w:asciiTheme="majorHAnsi" w:eastAsiaTheme="majorEastAsia" w:hAnsiTheme="majorHAnsi" w:cstheme="majorBidi"/>
      <w:color w:val="1F3763" w:themeColor="accent1" w:themeShade="7F"/>
      <w:lang w:val="en-US"/>
    </w:rPr>
  </w:style>
  <w:style w:type="paragraph" w:styleId="NormalWeb">
    <w:name w:val="Normal (Web)"/>
    <w:basedOn w:val="Normal"/>
    <w:uiPriority w:val="99"/>
    <w:unhideWhenUsed/>
    <w:rsid w:val="008C0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8C0774"/>
    <w:rPr>
      <w:b/>
      <w:bCs/>
    </w:rPr>
  </w:style>
  <w:style w:type="paragraph" w:customStyle="1" w:styleId="Default">
    <w:name w:val="Default"/>
    <w:rsid w:val="008C0774"/>
    <w:pPr>
      <w:autoSpaceDE w:val="0"/>
      <w:autoSpaceDN w:val="0"/>
      <w:adjustRightInd w:val="0"/>
    </w:pPr>
    <w:rPr>
      <w:rFonts w:ascii="CongressSans" w:hAnsi="CongressSans" w:cs="CongressSans"/>
      <w:color w:val="000000"/>
      <w:position w:val="6"/>
      <w:lang w:val="en-GB"/>
    </w:rPr>
  </w:style>
  <w:style w:type="paragraph" w:styleId="BodyText">
    <w:name w:val="Body Text"/>
    <w:basedOn w:val="Normal"/>
    <w:link w:val="BodyTextChar"/>
    <w:uiPriority w:val="1"/>
    <w:qFormat/>
    <w:rsid w:val="008C0774"/>
    <w:pPr>
      <w:widowControl w:val="0"/>
      <w:spacing w:before="119" w:after="0" w:line="240" w:lineRule="auto"/>
      <w:ind w:left="1799"/>
    </w:pPr>
    <w:rPr>
      <w:rFonts w:ascii="Arial" w:eastAsia="Arial" w:hAnsi="Arial"/>
      <w:sz w:val="24"/>
    </w:rPr>
  </w:style>
  <w:style w:type="character" w:customStyle="1" w:styleId="BodyTextChar">
    <w:name w:val="Body Text Char"/>
    <w:basedOn w:val="DefaultParagraphFont"/>
    <w:link w:val="BodyText"/>
    <w:uiPriority w:val="1"/>
    <w:rsid w:val="008C0774"/>
    <w:rPr>
      <w:rFonts w:ascii="Arial" w:eastAsia="Arial" w:hAnsi="Arial"/>
      <w:szCs w:val="22"/>
      <w:lang w:val="en-US"/>
    </w:rPr>
  </w:style>
  <w:style w:type="character" w:customStyle="1" w:styleId="UnresolvedMention">
    <w:name w:val="Unresolved Mention"/>
    <w:basedOn w:val="DefaultParagraphFont"/>
    <w:uiPriority w:val="99"/>
    <w:semiHidden/>
    <w:unhideWhenUsed/>
    <w:rsid w:val="0019589E"/>
    <w:rPr>
      <w:color w:val="605E5C"/>
      <w:shd w:val="clear" w:color="auto" w:fill="E1DFDD"/>
    </w:rPr>
  </w:style>
  <w:style w:type="table" w:styleId="GridTable2-Accent5">
    <w:name w:val="Grid Table 2 Accent 5"/>
    <w:basedOn w:val="TableNormal"/>
    <w:uiPriority w:val="47"/>
    <w:rsid w:val="00CB453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C5B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BF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5353">
      <w:bodyDiv w:val="1"/>
      <w:marLeft w:val="0"/>
      <w:marRight w:val="0"/>
      <w:marTop w:val="0"/>
      <w:marBottom w:val="0"/>
      <w:divBdr>
        <w:top w:val="none" w:sz="0" w:space="0" w:color="auto"/>
        <w:left w:val="none" w:sz="0" w:space="0" w:color="auto"/>
        <w:bottom w:val="none" w:sz="0" w:space="0" w:color="auto"/>
        <w:right w:val="none" w:sz="0" w:space="0" w:color="auto"/>
      </w:divBdr>
      <w:divsChild>
        <w:div w:id="2004619208">
          <w:marLeft w:val="0"/>
          <w:marRight w:val="0"/>
          <w:marTop w:val="0"/>
          <w:marBottom w:val="0"/>
          <w:divBdr>
            <w:top w:val="none" w:sz="0" w:space="0" w:color="auto"/>
            <w:left w:val="none" w:sz="0" w:space="0" w:color="auto"/>
            <w:bottom w:val="none" w:sz="0" w:space="0" w:color="auto"/>
            <w:right w:val="none" w:sz="0" w:space="0" w:color="auto"/>
          </w:divBdr>
          <w:divsChild>
            <w:div w:id="905578086">
              <w:marLeft w:val="0"/>
              <w:marRight w:val="0"/>
              <w:marTop w:val="0"/>
              <w:marBottom w:val="0"/>
              <w:divBdr>
                <w:top w:val="none" w:sz="0" w:space="0" w:color="auto"/>
                <w:left w:val="none" w:sz="0" w:space="0" w:color="auto"/>
                <w:bottom w:val="none" w:sz="0" w:space="0" w:color="auto"/>
                <w:right w:val="none" w:sz="0" w:space="0" w:color="auto"/>
              </w:divBdr>
              <w:divsChild>
                <w:div w:id="1560938271">
                  <w:marLeft w:val="0"/>
                  <w:marRight w:val="0"/>
                  <w:marTop w:val="0"/>
                  <w:marBottom w:val="0"/>
                  <w:divBdr>
                    <w:top w:val="none" w:sz="0" w:space="0" w:color="auto"/>
                    <w:left w:val="none" w:sz="0" w:space="0" w:color="auto"/>
                    <w:bottom w:val="none" w:sz="0" w:space="0" w:color="auto"/>
                    <w:right w:val="none" w:sz="0" w:space="0" w:color="auto"/>
                  </w:divBdr>
                  <w:divsChild>
                    <w:div w:id="11685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80163">
      <w:bodyDiv w:val="1"/>
      <w:marLeft w:val="0"/>
      <w:marRight w:val="0"/>
      <w:marTop w:val="0"/>
      <w:marBottom w:val="0"/>
      <w:divBdr>
        <w:top w:val="none" w:sz="0" w:space="0" w:color="auto"/>
        <w:left w:val="none" w:sz="0" w:space="0" w:color="auto"/>
        <w:bottom w:val="none" w:sz="0" w:space="0" w:color="auto"/>
        <w:right w:val="none" w:sz="0" w:space="0" w:color="auto"/>
      </w:divBdr>
      <w:divsChild>
        <w:div w:id="238293824">
          <w:marLeft w:val="0"/>
          <w:marRight w:val="0"/>
          <w:marTop w:val="0"/>
          <w:marBottom w:val="0"/>
          <w:divBdr>
            <w:top w:val="none" w:sz="0" w:space="0" w:color="auto"/>
            <w:left w:val="none" w:sz="0" w:space="0" w:color="auto"/>
            <w:bottom w:val="none" w:sz="0" w:space="0" w:color="auto"/>
            <w:right w:val="none" w:sz="0" w:space="0" w:color="auto"/>
          </w:divBdr>
          <w:divsChild>
            <w:div w:id="472913965">
              <w:marLeft w:val="0"/>
              <w:marRight w:val="0"/>
              <w:marTop w:val="0"/>
              <w:marBottom w:val="0"/>
              <w:divBdr>
                <w:top w:val="none" w:sz="0" w:space="0" w:color="auto"/>
                <w:left w:val="none" w:sz="0" w:space="0" w:color="auto"/>
                <w:bottom w:val="none" w:sz="0" w:space="0" w:color="auto"/>
                <w:right w:val="none" w:sz="0" w:space="0" w:color="auto"/>
              </w:divBdr>
              <w:divsChild>
                <w:div w:id="2061438627">
                  <w:marLeft w:val="0"/>
                  <w:marRight w:val="0"/>
                  <w:marTop w:val="0"/>
                  <w:marBottom w:val="0"/>
                  <w:divBdr>
                    <w:top w:val="none" w:sz="0" w:space="0" w:color="auto"/>
                    <w:left w:val="none" w:sz="0" w:space="0" w:color="auto"/>
                    <w:bottom w:val="none" w:sz="0" w:space="0" w:color="auto"/>
                    <w:right w:val="none" w:sz="0" w:space="0" w:color="auto"/>
                  </w:divBdr>
                  <w:divsChild>
                    <w:div w:id="1562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6241">
      <w:bodyDiv w:val="1"/>
      <w:marLeft w:val="0"/>
      <w:marRight w:val="0"/>
      <w:marTop w:val="0"/>
      <w:marBottom w:val="0"/>
      <w:divBdr>
        <w:top w:val="none" w:sz="0" w:space="0" w:color="auto"/>
        <w:left w:val="none" w:sz="0" w:space="0" w:color="auto"/>
        <w:bottom w:val="none" w:sz="0" w:space="0" w:color="auto"/>
        <w:right w:val="none" w:sz="0" w:space="0" w:color="auto"/>
      </w:divBdr>
      <w:divsChild>
        <w:div w:id="887423901">
          <w:marLeft w:val="0"/>
          <w:marRight w:val="0"/>
          <w:marTop w:val="0"/>
          <w:marBottom w:val="0"/>
          <w:divBdr>
            <w:top w:val="none" w:sz="0" w:space="0" w:color="auto"/>
            <w:left w:val="none" w:sz="0" w:space="0" w:color="auto"/>
            <w:bottom w:val="none" w:sz="0" w:space="0" w:color="auto"/>
            <w:right w:val="none" w:sz="0" w:space="0" w:color="auto"/>
          </w:divBdr>
          <w:divsChild>
            <w:div w:id="338116400">
              <w:marLeft w:val="0"/>
              <w:marRight w:val="0"/>
              <w:marTop w:val="0"/>
              <w:marBottom w:val="0"/>
              <w:divBdr>
                <w:top w:val="none" w:sz="0" w:space="0" w:color="auto"/>
                <w:left w:val="none" w:sz="0" w:space="0" w:color="auto"/>
                <w:bottom w:val="none" w:sz="0" w:space="0" w:color="auto"/>
                <w:right w:val="none" w:sz="0" w:space="0" w:color="auto"/>
              </w:divBdr>
              <w:divsChild>
                <w:div w:id="607200346">
                  <w:marLeft w:val="0"/>
                  <w:marRight w:val="0"/>
                  <w:marTop w:val="0"/>
                  <w:marBottom w:val="0"/>
                  <w:divBdr>
                    <w:top w:val="none" w:sz="0" w:space="0" w:color="auto"/>
                    <w:left w:val="none" w:sz="0" w:space="0" w:color="auto"/>
                    <w:bottom w:val="none" w:sz="0" w:space="0" w:color="auto"/>
                    <w:right w:val="none" w:sz="0" w:space="0" w:color="auto"/>
                  </w:divBdr>
                  <w:divsChild>
                    <w:div w:id="1385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5820">
      <w:bodyDiv w:val="1"/>
      <w:marLeft w:val="0"/>
      <w:marRight w:val="0"/>
      <w:marTop w:val="0"/>
      <w:marBottom w:val="0"/>
      <w:divBdr>
        <w:top w:val="none" w:sz="0" w:space="0" w:color="auto"/>
        <w:left w:val="none" w:sz="0" w:space="0" w:color="auto"/>
        <w:bottom w:val="none" w:sz="0" w:space="0" w:color="auto"/>
        <w:right w:val="none" w:sz="0" w:space="0" w:color="auto"/>
      </w:divBdr>
      <w:divsChild>
        <w:div w:id="1959408354">
          <w:marLeft w:val="0"/>
          <w:marRight w:val="0"/>
          <w:marTop w:val="0"/>
          <w:marBottom w:val="0"/>
          <w:divBdr>
            <w:top w:val="none" w:sz="0" w:space="0" w:color="auto"/>
            <w:left w:val="none" w:sz="0" w:space="0" w:color="auto"/>
            <w:bottom w:val="none" w:sz="0" w:space="0" w:color="auto"/>
            <w:right w:val="none" w:sz="0" w:space="0" w:color="auto"/>
          </w:divBdr>
          <w:divsChild>
            <w:div w:id="269701449">
              <w:marLeft w:val="0"/>
              <w:marRight w:val="0"/>
              <w:marTop w:val="0"/>
              <w:marBottom w:val="0"/>
              <w:divBdr>
                <w:top w:val="none" w:sz="0" w:space="0" w:color="auto"/>
                <w:left w:val="none" w:sz="0" w:space="0" w:color="auto"/>
                <w:bottom w:val="none" w:sz="0" w:space="0" w:color="auto"/>
                <w:right w:val="none" w:sz="0" w:space="0" w:color="auto"/>
              </w:divBdr>
              <w:divsChild>
                <w:div w:id="887113376">
                  <w:marLeft w:val="0"/>
                  <w:marRight w:val="0"/>
                  <w:marTop w:val="0"/>
                  <w:marBottom w:val="0"/>
                  <w:divBdr>
                    <w:top w:val="none" w:sz="0" w:space="0" w:color="auto"/>
                    <w:left w:val="none" w:sz="0" w:space="0" w:color="auto"/>
                    <w:bottom w:val="none" w:sz="0" w:space="0" w:color="auto"/>
                    <w:right w:val="none" w:sz="0" w:space="0" w:color="auto"/>
                  </w:divBdr>
                  <w:divsChild>
                    <w:div w:id="4853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1740">
      <w:bodyDiv w:val="1"/>
      <w:marLeft w:val="0"/>
      <w:marRight w:val="0"/>
      <w:marTop w:val="0"/>
      <w:marBottom w:val="0"/>
      <w:divBdr>
        <w:top w:val="none" w:sz="0" w:space="0" w:color="auto"/>
        <w:left w:val="none" w:sz="0" w:space="0" w:color="auto"/>
        <w:bottom w:val="none" w:sz="0" w:space="0" w:color="auto"/>
        <w:right w:val="none" w:sz="0" w:space="0" w:color="auto"/>
      </w:divBdr>
      <w:divsChild>
        <w:div w:id="84034289">
          <w:marLeft w:val="0"/>
          <w:marRight w:val="0"/>
          <w:marTop w:val="0"/>
          <w:marBottom w:val="0"/>
          <w:divBdr>
            <w:top w:val="none" w:sz="0" w:space="0" w:color="auto"/>
            <w:left w:val="none" w:sz="0" w:space="0" w:color="auto"/>
            <w:bottom w:val="none" w:sz="0" w:space="0" w:color="auto"/>
            <w:right w:val="none" w:sz="0" w:space="0" w:color="auto"/>
          </w:divBdr>
          <w:divsChild>
            <w:div w:id="1531257185">
              <w:marLeft w:val="0"/>
              <w:marRight w:val="0"/>
              <w:marTop w:val="0"/>
              <w:marBottom w:val="0"/>
              <w:divBdr>
                <w:top w:val="none" w:sz="0" w:space="0" w:color="auto"/>
                <w:left w:val="none" w:sz="0" w:space="0" w:color="auto"/>
                <w:bottom w:val="none" w:sz="0" w:space="0" w:color="auto"/>
                <w:right w:val="none" w:sz="0" w:space="0" w:color="auto"/>
              </w:divBdr>
              <w:divsChild>
                <w:div w:id="737095161">
                  <w:marLeft w:val="0"/>
                  <w:marRight w:val="0"/>
                  <w:marTop w:val="0"/>
                  <w:marBottom w:val="0"/>
                  <w:divBdr>
                    <w:top w:val="none" w:sz="0" w:space="0" w:color="auto"/>
                    <w:left w:val="none" w:sz="0" w:space="0" w:color="auto"/>
                    <w:bottom w:val="none" w:sz="0" w:space="0" w:color="auto"/>
                    <w:right w:val="none" w:sz="0" w:space="0" w:color="auto"/>
                  </w:divBdr>
                  <w:divsChild>
                    <w:div w:id="849638119">
                      <w:marLeft w:val="0"/>
                      <w:marRight w:val="0"/>
                      <w:marTop w:val="0"/>
                      <w:marBottom w:val="0"/>
                      <w:divBdr>
                        <w:top w:val="none" w:sz="0" w:space="0" w:color="auto"/>
                        <w:left w:val="none" w:sz="0" w:space="0" w:color="auto"/>
                        <w:bottom w:val="none" w:sz="0" w:space="0" w:color="auto"/>
                        <w:right w:val="none" w:sz="0" w:space="0" w:color="auto"/>
                      </w:divBdr>
                    </w:div>
                  </w:divsChild>
                </w:div>
                <w:div w:id="62610561">
                  <w:marLeft w:val="0"/>
                  <w:marRight w:val="0"/>
                  <w:marTop w:val="0"/>
                  <w:marBottom w:val="0"/>
                  <w:divBdr>
                    <w:top w:val="none" w:sz="0" w:space="0" w:color="auto"/>
                    <w:left w:val="none" w:sz="0" w:space="0" w:color="auto"/>
                    <w:bottom w:val="none" w:sz="0" w:space="0" w:color="auto"/>
                    <w:right w:val="none" w:sz="0" w:space="0" w:color="auto"/>
                  </w:divBdr>
                  <w:divsChild>
                    <w:div w:id="1309935586">
                      <w:marLeft w:val="0"/>
                      <w:marRight w:val="0"/>
                      <w:marTop w:val="0"/>
                      <w:marBottom w:val="0"/>
                      <w:divBdr>
                        <w:top w:val="none" w:sz="0" w:space="0" w:color="auto"/>
                        <w:left w:val="none" w:sz="0" w:space="0" w:color="auto"/>
                        <w:bottom w:val="none" w:sz="0" w:space="0" w:color="auto"/>
                        <w:right w:val="none" w:sz="0" w:space="0" w:color="auto"/>
                      </w:divBdr>
                    </w:div>
                  </w:divsChild>
                </w:div>
                <w:div w:id="1676688901">
                  <w:marLeft w:val="0"/>
                  <w:marRight w:val="0"/>
                  <w:marTop w:val="0"/>
                  <w:marBottom w:val="0"/>
                  <w:divBdr>
                    <w:top w:val="none" w:sz="0" w:space="0" w:color="auto"/>
                    <w:left w:val="none" w:sz="0" w:space="0" w:color="auto"/>
                    <w:bottom w:val="none" w:sz="0" w:space="0" w:color="auto"/>
                    <w:right w:val="none" w:sz="0" w:space="0" w:color="auto"/>
                  </w:divBdr>
                  <w:divsChild>
                    <w:div w:id="1894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39674">
      <w:bodyDiv w:val="1"/>
      <w:marLeft w:val="0"/>
      <w:marRight w:val="0"/>
      <w:marTop w:val="0"/>
      <w:marBottom w:val="0"/>
      <w:divBdr>
        <w:top w:val="none" w:sz="0" w:space="0" w:color="auto"/>
        <w:left w:val="none" w:sz="0" w:space="0" w:color="auto"/>
        <w:bottom w:val="none" w:sz="0" w:space="0" w:color="auto"/>
        <w:right w:val="none" w:sz="0" w:space="0" w:color="auto"/>
      </w:divBdr>
      <w:divsChild>
        <w:div w:id="80639567">
          <w:marLeft w:val="0"/>
          <w:marRight w:val="0"/>
          <w:marTop w:val="0"/>
          <w:marBottom w:val="0"/>
          <w:divBdr>
            <w:top w:val="none" w:sz="0" w:space="0" w:color="auto"/>
            <w:left w:val="none" w:sz="0" w:space="0" w:color="auto"/>
            <w:bottom w:val="none" w:sz="0" w:space="0" w:color="auto"/>
            <w:right w:val="none" w:sz="0" w:space="0" w:color="auto"/>
          </w:divBdr>
          <w:divsChild>
            <w:div w:id="1276911738">
              <w:marLeft w:val="0"/>
              <w:marRight w:val="0"/>
              <w:marTop w:val="0"/>
              <w:marBottom w:val="0"/>
              <w:divBdr>
                <w:top w:val="none" w:sz="0" w:space="0" w:color="auto"/>
                <w:left w:val="none" w:sz="0" w:space="0" w:color="auto"/>
                <w:bottom w:val="none" w:sz="0" w:space="0" w:color="auto"/>
                <w:right w:val="none" w:sz="0" w:space="0" w:color="auto"/>
              </w:divBdr>
              <w:divsChild>
                <w:div w:id="529221622">
                  <w:marLeft w:val="0"/>
                  <w:marRight w:val="0"/>
                  <w:marTop w:val="0"/>
                  <w:marBottom w:val="0"/>
                  <w:divBdr>
                    <w:top w:val="none" w:sz="0" w:space="0" w:color="auto"/>
                    <w:left w:val="none" w:sz="0" w:space="0" w:color="auto"/>
                    <w:bottom w:val="none" w:sz="0" w:space="0" w:color="auto"/>
                    <w:right w:val="none" w:sz="0" w:space="0" w:color="auto"/>
                  </w:divBdr>
                  <w:divsChild>
                    <w:div w:id="21281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qa.org.za/index.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vet-projects.eu/Documents/ECVET%20Conversion%20manu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fhe.gov.mt/en/Pages/Projects/ecvet.aspx" TargetMode="External"/><Relationship Id="rId4" Type="http://schemas.openxmlformats.org/officeDocument/2006/relationships/webSettings" Target="webSettings.xml"/><Relationship Id="rId9" Type="http://schemas.openxmlformats.org/officeDocument/2006/relationships/hyperlink" Target="http://www.ecvet-secretariat.eu/en/what-is-ecv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Baumann</dc:creator>
  <cp:keywords/>
  <dc:description/>
  <cp:lastModifiedBy>Alhamran, Feras GIZ JO</cp:lastModifiedBy>
  <cp:revision>6</cp:revision>
  <dcterms:created xsi:type="dcterms:W3CDTF">2019-08-29T06:00:00Z</dcterms:created>
  <dcterms:modified xsi:type="dcterms:W3CDTF">2020-03-18T13:46:00Z</dcterms:modified>
  <cp:category/>
</cp:coreProperties>
</file>