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1F" w:rsidRPr="002C35CF" w:rsidRDefault="00856542" w:rsidP="00856542">
      <w:pPr>
        <w:spacing w:after="4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118.15pt;width:436.15pt;height:270.25pt;z-index:25166438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filled="f" stroked="f">
            <v:textbox>
              <w:txbxContent>
                <w:p w:rsidR="00856542" w:rsidRPr="00856542" w:rsidRDefault="00856542" w:rsidP="00856542">
                  <w:pPr>
                    <w:pStyle w:val="Heading1"/>
                    <w:jc w:val="center"/>
                    <w:rPr>
                      <w:rFonts w:asciiTheme="minorBidi" w:hAnsiTheme="minorBidi" w:cstheme="minorBidi"/>
                      <w:color w:val="FFFFFF" w:themeColor="background1"/>
                      <w:sz w:val="32"/>
                      <w:szCs w:val="32"/>
                      <w:lang w:val="en-GB"/>
                    </w:rPr>
                  </w:pPr>
                  <w:bookmarkStart w:id="0" w:name="_Toc531865583"/>
                  <w:bookmarkStart w:id="1" w:name="_Toc532373492"/>
                  <w:r w:rsidRPr="00856542">
                    <w:rPr>
                      <w:rFonts w:asciiTheme="minorBidi" w:hAnsiTheme="minorBidi" w:cstheme="minorBidi"/>
                      <w:color w:val="FFFFFF" w:themeColor="background1"/>
                      <w:sz w:val="32"/>
                      <w:szCs w:val="32"/>
                      <w:lang w:val="en-GB"/>
                    </w:rPr>
                    <w:t xml:space="preserve">Policy Review and Concept for ALMM </w:t>
                  </w:r>
                  <w:bookmarkEnd w:id="0"/>
                  <w:r w:rsidRPr="00856542">
                    <w:rPr>
                      <w:rFonts w:asciiTheme="minorBidi" w:hAnsiTheme="minorBidi" w:cstheme="minorBidi"/>
                      <w:color w:val="FFFFFF" w:themeColor="background1"/>
                      <w:sz w:val="32"/>
                      <w:szCs w:val="32"/>
                      <w:lang w:val="en-GB"/>
                    </w:rPr>
                    <w:t>&amp; labour market services targeting disadvantage groups</w:t>
                  </w:r>
                  <w:bookmarkEnd w:id="1"/>
                </w:p>
                <w:p w:rsidR="00856542" w:rsidRPr="00856542" w:rsidRDefault="00856542" w:rsidP="00856542">
                  <w:pPr>
                    <w:rPr>
                      <w:rFonts w:asciiTheme="minorBidi" w:hAnsiTheme="minorBidi"/>
                      <w:color w:val="FFFFFF" w:themeColor="background1"/>
                      <w:lang w:val="en-GB"/>
                    </w:rPr>
                  </w:pPr>
                </w:p>
                <w:p w:rsidR="00856542" w:rsidRPr="00856542" w:rsidRDefault="00856542" w:rsidP="00856542">
                  <w:pPr>
                    <w:pStyle w:val="Heading2"/>
                    <w:jc w:val="center"/>
                    <w:rPr>
                      <w:rFonts w:asciiTheme="minorBidi" w:hAnsiTheme="minorBidi" w:cstheme="minorBidi"/>
                      <w:color w:val="FFFFFF" w:themeColor="background1"/>
                      <w:lang w:val="en-GB"/>
                    </w:rPr>
                  </w:pPr>
                  <w:bookmarkStart w:id="2" w:name="_Toc531865585"/>
                  <w:bookmarkStart w:id="3" w:name="_Toc532373493"/>
                  <w:r w:rsidRPr="00856542">
                    <w:rPr>
                      <w:rFonts w:asciiTheme="minorBidi" w:hAnsiTheme="minorBidi" w:cstheme="minorBidi"/>
                      <w:color w:val="FFFFFF" w:themeColor="background1"/>
                      <w:lang w:val="en-GB"/>
                    </w:rPr>
                    <w:t>Activity 1.4.</w:t>
                  </w:r>
                  <w:bookmarkEnd w:id="2"/>
                  <w:r w:rsidRPr="00856542">
                    <w:rPr>
                      <w:rFonts w:asciiTheme="minorBidi" w:hAnsiTheme="minorBidi" w:cstheme="minorBidi"/>
                      <w:color w:val="FFFFFF" w:themeColor="background1"/>
                      <w:lang w:val="en-GB"/>
                    </w:rPr>
                    <w:t>3. &amp; 1.4.7.</w:t>
                  </w:r>
                  <w:bookmarkEnd w:id="3"/>
                </w:p>
                <w:p w:rsidR="00856542" w:rsidRPr="00856542" w:rsidRDefault="00856542" w:rsidP="00856542">
                  <w:pPr>
                    <w:jc w:val="center"/>
                    <w:rPr>
                      <w:color w:val="FFFFFF" w:themeColor="background1"/>
                      <w:lang w:val="en-GB"/>
                    </w:rPr>
                  </w:pPr>
                  <w:r w:rsidRPr="00856542">
                    <w:rPr>
                      <w:color w:val="FFFFFF" w:themeColor="background1"/>
                      <w:lang w:val="en-GB"/>
                    </w:rPr>
                    <w:t>December 2018</w:t>
                  </w:r>
                </w:p>
                <w:p w:rsidR="00856542" w:rsidRPr="00856542" w:rsidRDefault="00856542" w:rsidP="00856542">
                  <w:pPr>
                    <w:jc w:val="center"/>
                    <w:rPr>
                      <w:color w:val="FFFFFF" w:themeColor="background1"/>
                      <w:lang w:val="en-GB"/>
                    </w:rPr>
                  </w:pPr>
                </w:p>
                <w:p w:rsidR="00856542" w:rsidRPr="00856542" w:rsidRDefault="00856542" w:rsidP="00856542">
                  <w:pPr>
                    <w:rPr>
                      <w:color w:val="FFFFFF" w:themeColor="background1"/>
                      <w:lang w:val="en-GB"/>
                    </w:rPr>
                  </w:pPr>
                  <w:r w:rsidRPr="00856542">
                    <w:rPr>
                      <w:color w:val="FFFFFF" w:themeColor="background1"/>
                      <w:lang w:val="en-GB"/>
                    </w:rPr>
                    <w:t xml:space="preserve">version 1.0 </w:t>
                  </w:r>
                </w:p>
                <w:p w:rsidR="00856542" w:rsidRPr="00856542" w:rsidRDefault="00856542" w:rsidP="00856542">
                  <w:pPr>
                    <w:rPr>
                      <w:color w:val="FFFFFF" w:themeColor="background1"/>
                      <w:lang w:val="en-GB"/>
                    </w:rPr>
                  </w:pPr>
                  <w:r w:rsidRPr="00856542">
                    <w:rPr>
                      <w:color w:val="FFFFFF" w:themeColor="background1"/>
                      <w:lang w:val="en-GB"/>
                    </w:rPr>
                    <w:t>Developed by Tibor Bors Borbely-</w:t>
                  </w:r>
                  <w:proofErr w:type="spellStart"/>
                  <w:r w:rsidRPr="00856542">
                    <w:rPr>
                      <w:color w:val="FFFFFF" w:themeColor="background1"/>
                      <w:lang w:val="en-GB"/>
                    </w:rPr>
                    <w:t>Pecze</w:t>
                  </w:r>
                  <w:proofErr w:type="spellEnd"/>
                  <w:r w:rsidRPr="00856542">
                    <w:rPr>
                      <w:color w:val="FFFFFF" w:themeColor="background1"/>
                      <w:lang w:val="en-GB"/>
                    </w:rPr>
                    <w:t>, Ph.D. NKSE-International</w:t>
                  </w:r>
                </w:p>
                <w:p w:rsidR="00856542" w:rsidRPr="00856542" w:rsidRDefault="00856542" w:rsidP="00856542">
                  <w:pPr>
                    <w:spacing w:after="0" w:line="240" w:lineRule="auto"/>
                    <w:rPr>
                      <w:rFonts w:cstheme="minorHAnsi"/>
                      <w:color w:val="FFFFFF" w:themeColor="background1"/>
                      <w:lang w:val="en-GB"/>
                    </w:rPr>
                  </w:pPr>
                  <w:r w:rsidRPr="00856542">
                    <w:rPr>
                      <w:rFonts w:cstheme="minorHAnsi"/>
                      <w:color w:val="FFFFFF" w:themeColor="background1"/>
                      <w:lang w:val="en-GB"/>
                    </w:rPr>
                    <w:t>Reviewed and approved by: Luba Pavlovova, Key Expert4/Component4</w:t>
                  </w:r>
                </w:p>
                <w:p w:rsidR="00856542" w:rsidRPr="00856542" w:rsidRDefault="00856542" w:rsidP="00856542">
                  <w:pPr>
                    <w:rPr>
                      <w:color w:val="FFFFFF" w:themeColor="background1"/>
                      <w:lang w:val="en-GB"/>
                    </w:rPr>
                  </w:pPr>
                </w:p>
                <w:p w:rsidR="00856542" w:rsidRPr="00856542" w:rsidRDefault="00856542" w:rsidP="00856542">
                  <w:pPr>
                    <w:rPr>
                      <w:color w:val="FFFFFF" w:themeColor="background1"/>
                      <w:lang w:val="en-GB"/>
                    </w:rPr>
                  </w:pPr>
                  <w:bookmarkStart w:id="4" w:name="_GoBack"/>
                  <w:bookmarkEnd w:id="4"/>
                </w:p>
                <w:p w:rsidR="00856542" w:rsidRPr="00856542" w:rsidRDefault="00856542" w:rsidP="00856542">
                  <w:pPr>
                    <w:rPr>
                      <w:color w:val="FFFFFF" w:themeColor="background1"/>
                      <w:lang w:val="en-GB"/>
                    </w:rPr>
                  </w:pPr>
                  <w:r w:rsidRPr="00856542">
                    <w:rPr>
                      <w:color w:val="FFFFFF" w:themeColor="background1"/>
                      <w:lang w:val="en-GB"/>
                    </w:rPr>
                    <w:t xml:space="preserve">23/12/2018, Amman-Budapest </w:t>
                  </w:r>
                </w:p>
                <w:p w:rsidR="00856542" w:rsidRPr="00856542" w:rsidRDefault="00856542" w:rsidP="00856542">
                  <w:pPr>
                    <w:rPr>
                      <w:color w:val="FFFFFF" w:themeColor="background1"/>
                      <w:lang w:val="en-GB"/>
                    </w:rPr>
                  </w:pPr>
                </w:p>
                <w:p w:rsidR="00856542" w:rsidRPr="00856542" w:rsidRDefault="00856542" w:rsidP="00856542">
                  <w:pPr>
                    <w:rPr>
                      <w:rFonts w:asciiTheme="minorBidi" w:hAnsiTheme="minorBidi"/>
                      <w:color w:val="FFFFFF" w:themeColor="background1"/>
                      <w:lang w:val="en-GB"/>
                    </w:rPr>
                  </w:pPr>
                </w:p>
                <w:p w:rsidR="00856542" w:rsidRPr="00856542" w:rsidRDefault="00856542" w:rsidP="00856542">
                  <w:pPr>
                    <w:rPr>
                      <w:rFonts w:asciiTheme="minorBidi" w:hAnsiTheme="minorBidi"/>
                      <w:color w:val="FFFFFF" w:themeColor="background1"/>
                    </w:rPr>
                  </w:pPr>
                </w:p>
              </w:txbxContent>
            </v:textbox>
            <w10:wrap type="square"/>
          </v:shape>
        </w:pict>
      </w:r>
      <w:r w:rsidRPr="00856542">
        <w:rPr>
          <w:rFonts w:asciiTheme="minorBidi" w:hAnsiTheme="minorBidi"/>
          <w:b/>
          <w:noProof/>
          <w:sz w:val="24"/>
          <w:szCs w:val="24"/>
          <w:lang w:val="en-US"/>
        </w:rPr>
        <w:drawing>
          <wp:anchor distT="0" distB="0" distL="114300" distR="114300" simplePos="0" relativeHeight="251659776" behindDoc="0" locked="0" layoutInCell="1" allowOverlap="1" wp14:anchorId="2EF7CC94" wp14:editId="737016DD">
            <wp:simplePos x="0" y="0"/>
            <wp:positionH relativeFrom="column">
              <wp:posOffset>-658495</wp:posOffset>
            </wp:positionH>
            <wp:positionV relativeFrom="paragraph">
              <wp:posOffset>1905</wp:posOffset>
            </wp:positionV>
            <wp:extent cx="6982460" cy="5321300"/>
            <wp:effectExtent l="0" t="0" r="0" b="0"/>
            <wp:wrapThrough wrapText="bothSides">
              <wp:wrapPolygon edited="0">
                <wp:start x="0" y="0"/>
                <wp:lineTo x="0" y="21497"/>
                <wp:lineTo x="21569" y="21497"/>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6">
                      <a:extLst>
                        <a:ext uri="{28A0092B-C50C-407E-A947-70E740481C1C}">
                          <a14:useLocalDpi xmlns:a14="http://schemas.microsoft.com/office/drawing/2010/main" val="0"/>
                        </a:ext>
                      </a:extLst>
                    </a:blip>
                    <a:stretch>
                      <a:fillRect/>
                    </a:stretch>
                  </pic:blipFill>
                  <pic:spPr>
                    <a:xfrm>
                      <a:off x="0" y="0"/>
                      <a:ext cx="6982460" cy="5321300"/>
                    </a:xfrm>
                    <a:prstGeom prst="rect">
                      <a:avLst/>
                    </a:prstGeom>
                  </pic:spPr>
                </pic:pic>
              </a:graphicData>
            </a:graphic>
            <wp14:sizeRelH relativeFrom="page">
              <wp14:pctWidth>0</wp14:pctWidth>
            </wp14:sizeRelH>
            <wp14:sizeRelV relativeFrom="page">
              <wp14:pctHeight>0</wp14:pctHeight>
            </wp14:sizeRelV>
          </wp:anchor>
        </w:drawing>
      </w:r>
      <w:sdt>
        <w:sdtPr>
          <w:rPr>
            <w:b/>
            <w:sz w:val="24"/>
            <w:szCs w:val="24"/>
          </w:rPr>
          <w:id w:val="-829753459"/>
          <w:docPartObj>
            <w:docPartGallery w:val="Cover Pages"/>
            <w:docPartUnique/>
          </w:docPartObj>
        </w:sdtPr>
        <w:sdtContent/>
      </w:sdt>
      <w:r w:rsidR="00CA0E1F">
        <w:rPr>
          <w:b/>
          <w:noProof/>
          <w:sz w:val="24"/>
          <w:szCs w:val="24"/>
          <w:lang w:val="en-US"/>
        </w:rPr>
        <w:drawing>
          <wp:anchor distT="0" distB="0" distL="114300" distR="114300" simplePos="0" relativeHeight="251656704" behindDoc="0" locked="0" layoutInCell="1" allowOverlap="1" wp14:anchorId="0D5FE273" wp14:editId="327F18B1">
            <wp:simplePos x="0" y="0"/>
            <wp:positionH relativeFrom="margin">
              <wp:posOffset>-381000</wp:posOffset>
            </wp:positionH>
            <wp:positionV relativeFrom="topMargin">
              <wp:posOffset>190500</wp:posOffset>
            </wp:positionV>
            <wp:extent cx="914400" cy="552450"/>
            <wp:effectExtent l="19050" t="0" r="0" b="0"/>
            <wp:wrapSquare wrapText="bothSides"/>
            <wp:docPr id="4" name="Picture 4" descr="Description: http://www.aegis-itn.eu/fileadmin/user_upload/logo-EU.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aegis-itn.eu/fileadmin/user_upload/logo-EU.jpg">
                      <a:hlinkClick r:id="rId7"/>
                    </pic:cNvPr>
                    <pic:cNvPicPr>
                      <a:picLocks noChangeAspect="1" noChangeArrowheads="1"/>
                    </pic:cNvPicPr>
                  </pic:nvPicPr>
                  <pic:blipFill>
                    <a:blip r:embed="rId8" cstate="print"/>
                    <a:srcRect/>
                    <a:stretch>
                      <a:fillRect/>
                    </a:stretch>
                  </pic:blipFill>
                  <pic:spPr bwMode="auto">
                    <a:xfrm>
                      <a:off x="0" y="0"/>
                      <a:ext cx="914400" cy="552450"/>
                    </a:xfrm>
                    <a:prstGeom prst="rect">
                      <a:avLst/>
                    </a:prstGeom>
                    <a:noFill/>
                    <a:ln w="9525">
                      <a:noFill/>
                      <a:miter lim="800000"/>
                      <a:headEnd/>
                      <a:tailEnd/>
                    </a:ln>
                  </pic:spPr>
                </pic:pic>
              </a:graphicData>
            </a:graphic>
          </wp:anchor>
        </w:drawing>
      </w:r>
      <w:r w:rsidR="00CA0E1F">
        <w:rPr>
          <w:b/>
          <w:noProof/>
          <w:sz w:val="24"/>
          <w:szCs w:val="24"/>
          <w:lang w:val="en-US"/>
        </w:rPr>
        <w:drawing>
          <wp:anchor distT="0" distB="0" distL="114300" distR="114300" simplePos="0" relativeHeight="251655680" behindDoc="0" locked="0" layoutInCell="1" allowOverlap="1" wp14:anchorId="50E2F9A5" wp14:editId="2E900363">
            <wp:simplePos x="0" y="0"/>
            <wp:positionH relativeFrom="margin">
              <wp:align>right</wp:align>
            </wp:positionH>
            <wp:positionV relativeFrom="topMargin">
              <wp:posOffset>190500</wp:posOffset>
            </wp:positionV>
            <wp:extent cx="914400" cy="542925"/>
            <wp:effectExtent l="19050" t="0" r="0" b="0"/>
            <wp:wrapSquare wrapText="bothSides"/>
            <wp:docPr id="3" name="Picture 5" descr="Description: http://upload.wikimedia.org/wikipedia/commons/thumb/c/c0/Flag_of_Jordan.svg/640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upload.wikimedia.org/wikipedia/commons/thumb/c/c0/Flag_of_Jordan.svg/640px-Flag_of_Jordan.svg.png"/>
                    <pic:cNvPicPr>
                      <a:picLocks noChangeAspect="1" noChangeArrowheads="1"/>
                    </pic:cNvPicPr>
                  </pic:nvPicPr>
                  <pic:blipFill>
                    <a:blip r:embed="rId9" cstate="print"/>
                    <a:srcRect/>
                    <a:stretch>
                      <a:fillRect/>
                    </a:stretch>
                  </pic:blipFill>
                  <pic:spPr bwMode="auto">
                    <a:xfrm>
                      <a:off x="0" y="0"/>
                      <a:ext cx="914400" cy="542925"/>
                    </a:xfrm>
                    <a:prstGeom prst="rect">
                      <a:avLst/>
                    </a:prstGeom>
                    <a:noFill/>
                    <a:ln w="9525">
                      <a:noFill/>
                      <a:miter lim="800000"/>
                      <a:headEnd/>
                      <a:tailEnd/>
                    </a:ln>
                  </pic:spPr>
                </pic:pic>
              </a:graphicData>
            </a:graphic>
          </wp:anchor>
        </w:drawing>
      </w:r>
    </w:p>
    <w:p w:rsidR="00CA0E1F" w:rsidRDefault="00CA0E1F" w:rsidP="00CA0E1F">
      <w:pPr>
        <w:pStyle w:val="Heading1"/>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rPr>
          <w:lang w:val="en-GB"/>
        </w:rPr>
      </w:pPr>
      <w:r>
        <w:rPr>
          <w:lang w:val="en-GB"/>
        </w:rPr>
        <w:br w:type="page"/>
      </w:r>
    </w:p>
    <w:p w:rsidR="00CA0E1F" w:rsidRDefault="00CA0E1F" w:rsidP="00CA0E1F">
      <w:pPr>
        <w:pStyle w:val="Heading1"/>
        <w:rPr>
          <w:lang w:val="en-GB"/>
        </w:rPr>
      </w:pPr>
      <w:bookmarkStart w:id="5" w:name="_Toc531865587"/>
      <w:bookmarkStart w:id="6" w:name="_Toc532373494"/>
      <w:r>
        <w:rPr>
          <w:lang w:val="en-GB"/>
        </w:rPr>
        <w:lastRenderedPageBreak/>
        <w:t>Abbreviations</w:t>
      </w:r>
      <w:bookmarkEnd w:id="5"/>
      <w:bookmarkEnd w:id="6"/>
      <w:r>
        <w:rPr>
          <w:lang w:val="en-GB"/>
        </w:rPr>
        <w:t xml:space="preserve">  </w:t>
      </w:r>
    </w:p>
    <w:p w:rsidR="00AE607E" w:rsidRDefault="00856542"/>
    <w:p w:rsidR="009F3296" w:rsidRPr="009F3296" w:rsidRDefault="009F3296">
      <w:pPr>
        <w:rPr>
          <w:lang w:val="en-GB"/>
        </w:rPr>
      </w:pPr>
      <w:r w:rsidRPr="009F3296">
        <w:rPr>
          <w:lang w:val="en-GB"/>
        </w:rPr>
        <w:t xml:space="preserve">ALMM Active Labour Market Measures </w:t>
      </w:r>
    </w:p>
    <w:p w:rsidR="009F3296" w:rsidRDefault="009F3296">
      <w:pPr>
        <w:rPr>
          <w:lang w:val="en-GB"/>
        </w:rPr>
      </w:pPr>
      <w:r w:rsidRPr="009F3296">
        <w:rPr>
          <w:lang w:val="en-GB"/>
        </w:rPr>
        <w:t xml:space="preserve">ALMP Active Labour Market Policy/ Programmes </w:t>
      </w:r>
    </w:p>
    <w:p w:rsidR="00CD71FA" w:rsidRPr="009F3296" w:rsidRDefault="00CD71FA">
      <w:pPr>
        <w:rPr>
          <w:lang w:val="en-GB"/>
        </w:rPr>
      </w:pPr>
      <w:r>
        <w:rPr>
          <w:lang w:val="en-GB"/>
        </w:rPr>
        <w:t xml:space="preserve">CBA Cost-benefit Analysis </w:t>
      </w:r>
    </w:p>
    <w:p w:rsidR="005547EE" w:rsidRPr="009F3296" w:rsidRDefault="005547EE">
      <w:pPr>
        <w:rPr>
          <w:lang w:val="en-GB"/>
        </w:rPr>
      </w:pPr>
      <w:r w:rsidRPr="009F3296">
        <w:rPr>
          <w:lang w:val="en-GB"/>
        </w:rPr>
        <w:t>EUROSTAT statistical office of the European Union</w:t>
      </w:r>
    </w:p>
    <w:p w:rsidR="00C4632D" w:rsidRDefault="00C4632D">
      <w:pPr>
        <w:rPr>
          <w:lang w:val="en-GB"/>
        </w:rPr>
      </w:pPr>
      <w:r w:rsidRPr="009F3296">
        <w:rPr>
          <w:lang w:val="en-GB"/>
        </w:rPr>
        <w:t xml:space="preserve">NAF National Aid Fund, Jordan </w:t>
      </w:r>
    </w:p>
    <w:p w:rsidR="00826FB4" w:rsidRDefault="00826FB4">
      <w:pPr>
        <w:rPr>
          <w:lang w:val="en-GB"/>
        </w:rPr>
      </w:pPr>
      <w:proofErr w:type="spellStart"/>
      <w:r>
        <w:rPr>
          <w:lang w:val="en-GB"/>
        </w:rPr>
        <w:t>MoL</w:t>
      </w:r>
      <w:proofErr w:type="spellEnd"/>
      <w:r>
        <w:rPr>
          <w:lang w:val="en-GB"/>
        </w:rPr>
        <w:t xml:space="preserve"> Ministry of Labour, Jordan </w:t>
      </w:r>
    </w:p>
    <w:p w:rsidR="00AB64E8" w:rsidRPr="009F3296" w:rsidRDefault="00AB64E8">
      <w:pPr>
        <w:rPr>
          <w:lang w:val="en-GB"/>
        </w:rPr>
      </w:pPr>
      <w:r>
        <w:rPr>
          <w:lang w:val="en-GB"/>
        </w:rPr>
        <w:t xml:space="preserve">ILO International Labour Organisation </w:t>
      </w:r>
    </w:p>
    <w:p w:rsidR="009F3296" w:rsidRDefault="009F3296">
      <w:pPr>
        <w:rPr>
          <w:lang w:val="en-GB"/>
        </w:rPr>
      </w:pPr>
      <w:r w:rsidRPr="009F3296">
        <w:rPr>
          <w:lang w:val="en-GB"/>
        </w:rPr>
        <w:t xml:space="preserve">LMP Labour Market Policies </w:t>
      </w:r>
    </w:p>
    <w:p w:rsidR="00AE2AF5" w:rsidRDefault="00AE2AF5">
      <w:pPr>
        <w:rPr>
          <w:lang w:val="en-GB"/>
        </w:rPr>
      </w:pPr>
      <w:r>
        <w:rPr>
          <w:lang w:val="en-GB"/>
        </w:rPr>
        <w:t xml:space="preserve">LM Labour Market </w:t>
      </w:r>
    </w:p>
    <w:p w:rsidR="00F94E0C" w:rsidRDefault="00F94E0C">
      <w:pPr>
        <w:rPr>
          <w:lang w:val="en-GB"/>
        </w:rPr>
      </w:pPr>
      <w:r>
        <w:rPr>
          <w:lang w:val="en-GB"/>
        </w:rPr>
        <w:t xml:space="preserve">TA Technical Assistance </w:t>
      </w:r>
    </w:p>
    <w:p w:rsidR="00F8275B" w:rsidRDefault="00F94E0C">
      <w:pPr>
        <w:rPr>
          <w:lang w:val="en-GB"/>
        </w:rPr>
      </w:pPr>
      <w:r>
        <w:rPr>
          <w:lang w:val="en-GB"/>
        </w:rPr>
        <w:t>SEISP Skills for Employment and Social Inclusion Programme (EU funded Technical Assistance)</w:t>
      </w:r>
    </w:p>
    <w:p w:rsidR="00F8275B" w:rsidRDefault="00F8275B">
      <w:pPr>
        <w:rPr>
          <w:lang w:val="en-GB"/>
        </w:rPr>
      </w:pPr>
      <w:r>
        <w:rPr>
          <w:lang w:val="en-GB"/>
        </w:rPr>
        <w:br w:type="page"/>
      </w:r>
    </w:p>
    <w:p w:rsidR="00F94E0C" w:rsidRDefault="00F8275B" w:rsidP="00F8275B">
      <w:pPr>
        <w:pStyle w:val="Heading1"/>
        <w:rPr>
          <w:lang w:val="en-GB"/>
        </w:rPr>
      </w:pPr>
      <w:bookmarkStart w:id="7" w:name="_Toc532373495"/>
      <w:r>
        <w:rPr>
          <w:lang w:val="en-GB"/>
        </w:rPr>
        <w:lastRenderedPageBreak/>
        <w:t>Table of Content</w:t>
      </w:r>
      <w:bookmarkEnd w:id="7"/>
      <w:r>
        <w:rPr>
          <w:lang w:val="en-GB"/>
        </w:rPr>
        <w:t xml:space="preserve"> </w:t>
      </w:r>
    </w:p>
    <w:p w:rsidR="00826FB4" w:rsidRPr="009F3296" w:rsidRDefault="00826FB4">
      <w:pPr>
        <w:rPr>
          <w:lang w:val="en-GB"/>
        </w:rPr>
      </w:pPr>
    </w:p>
    <w:sdt>
      <w:sdtPr>
        <w:rPr>
          <w:rFonts w:asciiTheme="minorHAnsi" w:eastAsiaTheme="minorHAnsi" w:hAnsiTheme="minorHAnsi" w:cstheme="minorBidi"/>
          <w:b w:val="0"/>
          <w:bCs w:val="0"/>
          <w:color w:val="auto"/>
          <w:sz w:val="22"/>
          <w:szCs w:val="22"/>
          <w:lang w:eastAsia="en-US"/>
        </w:rPr>
        <w:id w:val="-846169463"/>
        <w:docPartObj>
          <w:docPartGallery w:val="Table of Contents"/>
          <w:docPartUnique/>
        </w:docPartObj>
      </w:sdtPr>
      <w:sdtEndPr/>
      <w:sdtContent>
        <w:p w:rsidR="001433B4" w:rsidRDefault="001433B4">
          <w:pPr>
            <w:pStyle w:val="TOCHeading"/>
          </w:pPr>
        </w:p>
        <w:p w:rsidR="001433B4" w:rsidRDefault="004E48D0" w:rsidP="001433B4">
          <w:pPr>
            <w:pStyle w:val="TOC1"/>
            <w:tabs>
              <w:tab w:val="right" w:leader="dot" w:pos="9062"/>
            </w:tabs>
            <w:rPr>
              <w:noProof/>
            </w:rPr>
          </w:pPr>
          <w:r>
            <w:fldChar w:fldCharType="begin"/>
          </w:r>
          <w:r w:rsidR="001433B4">
            <w:instrText xml:space="preserve"> TOC \o "1-3" \h \z \u </w:instrText>
          </w:r>
          <w:r>
            <w:fldChar w:fldCharType="separate"/>
          </w:r>
        </w:p>
        <w:p w:rsidR="001433B4" w:rsidRDefault="001433B4">
          <w:pPr>
            <w:pStyle w:val="TOC2"/>
            <w:tabs>
              <w:tab w:val="right" w:leader="dot" w:pos="9062"/>
            </w:tabs>
            <w:rPr>
              <w:noProof/>
            </w:rPr>
          </w:pPr>
        </w:p>
        <w:p w:rsidR="001433B4" w:rsidRDefault="00856542">
          <w:pPr>
            <w:pStyle w:val="TOC1"/>
            <w:tabs>
              <w:tab w:val="right" w:leader="dot" w:pos="9062"/>
            </w:tabs>
            <w:rPr>
              <w:noProof/>
            </w:rPr>
          </w:pPr>
          <w:hyperlink w:anchor="_Toc532373494" w:history="1">
            <w:r w:rsidR="001433B4" w:rsidRPr="00920B64">
              <w:rPr>
                <w:rStyle w:val="Hyperlink"/>
                <w:noProof/>
                <w:lang w:val="en-GB"/>
              </w:rPr>
              <w:t>Abbreviations</w:t>
            </w:r>
            <w:r w:rsidR="001433B4">
              <w:rPr>
                <w:noProof/>
                <w:webHidden/>
              </w:rPr>
              <w:tab/>
            </w:r>
            <w:r w:rsidR="004E48D0">
              <w:rPr>
                <w:noProof/>
                <w:webHidden/>
              </w:rPr>
              <w:fldChar w:fldCharType="begin"/>
            </w:r>
            <w:r w:rsidR="001433B4">
              <w:rPr>
                <w:noProof/>
                <w:webHidden/>
              </w:rPr>
              <w:instrText xml:space="preserve"> PAGEREF _Toc532373494 \h </w:instrText>
            </w:r>
            <w:r w:rsidR="004E48D0">
              <w:rPr>
                <w:noProof/>
                <w:webHidden/>
              </w:rPr>
            </w:r>
            <w:r w:rsidR="004E48D0">
              <w:rPr>
                <w:noProof/>
                <w:webHidden/>
              </w:rPr>
              <w:fldChar w:fldCharType="separate"/>
            </w:r>
            <w:r w:rsidR="00023F2F">
              <w:rPr>
                <w:noProof/>
                <w:webHidden/>
              </w:rPr>
              <w:t>2</w:t>
            </w:r>
            <w:r w:rsidR="004E48D0">
              <w:rPr>
                <w:noProof/>
                <w:webHidden/>
              </w:rPr>
              <w:fldChar w:fldCharType="end"/>
            </w:r>
          </w:hyperlink>
        </w:p>
        <w:p w:rsidR="001433B4" w:rsidRDefault="00856542">
          <w:pPr>
            <w:pStyle w:val="TOC1"/>
            <w:tabs>
              <w:tab w:val="right" w:leader="dot" w:pos="9062"/>
            </w:tabs>
            <w:rPr>
              <w:noProof/>
            </w:rPr>
          </w:pPr>
          <w:hyperlink w:anchor="_Toc532373496" w:history="1">
            <w:r w:rsidR="001433B4" w:rsidRPr="00920B64">
              <w:rPr>
                <w:rStyle w:val="Hyperlink"/>
                <w:noProof/>
                <w:lang w:val="en-GB"/>
              </w:rPr>
              <w:t>Rationale</w:t>
            </w:r>
            <w:r w:rsidR="001433B4">
              <w:rPr>
                <w:noProof/>
                <w:webHidden/>
              </w:rPr>
              <w:tab/>
            </w:r>
            <w:r w:rsidR="004E48D0">
              <w:rPr>
                <w:noProof/>
                <w:webHidden/>
              </w:rPr>
              <w:fldChar w:fldCharType="begin"/>
            </w:r>
            <w:r w:rsidR="001433B4">
              <w:rPr>
                <w:noProof/>
                <w:webHidden/>
              </w:rPr>
              <w:instrText xml:space="preserve"> PAGEREF _Toc532373496 \h </w:instrText>
            </w:r>
            <w:r w:rsidR="004E48D0">
              <w:rPr>
                <w:noProof/>
                <w:webHidden/>
              </w:rPr>
            </w:r>
            <w:r w:rsidR="004E48D0">
              <w:rPr>
                <w:noProof/>
                <w:webHidden/>
              </w:rPr>
              <w:fldChar w:fldCharType="separate"/>
            </w:r>
            <w:r w:rsidR="00023F2F">
              <w:rPr>
                <w:noProof/>
                <w:webHidden/>
              </w:rPr>
              <w:t>4</w:t>
            </w:r>
            <w:r w:rsidR="004E48D0">
              <w:rPr>
                <w:noProof/>
                <w:webHidden/>
              </w:rPr>
              <w:fldChar w:fldCharType="end"/>
            </w:r>
          </w:hyperlink>
        </w:p>
        <w:p w:rsidR="001433B4" w:rsidRDefault="00856542">
          <w:pPr>
            <w:pStyle w:val="TOC1"/>
            <w:tabs>
              <w:tab w:val="right" w:leader="dot" w:pos="9062"/>
            </w:tabs>
            <w:rPr>
              <w:noProof/>
            </w:rPr>
          </w:pPr>
          <w:hyperlink w:anchor="_Toc532373497" w:history="1">
            <w:r w:rsidR="001433B4" w:rsidRPr="00920B64">
              <w:rPr>
                <w:rStyle w:val="Hyperlink"/>
                <w:noProof/>
                <w:lang w:val="en-GB"/>
              </w:rPr>
              <w:t>LMP: Labour Market Policy</w:t>
            </w:r>
            <w:r w:rsidR="001433B4">
              <w:rPr>
                <w:noProof/>
                <w:webHidden/>
              </w:rPr>
              <w:tab/>
            </w:r>
            <w:r w:rsidR="004E48D0">
              <w:rPr>
                <w:noProof/>
                <w:webHidden/>
              </w:rPr>
              <w:fldChar w:fldCharType="begin"/>
            </w:r>
            <w:r w:rsidR="001433B4">
              <w:rPr>
                <w:noProof/>
                <w:webHidden/>
              </w:rPr>
              <w:instrText xml:space="preserve"> PAGEREF _Toc532373497 \h </w:instrText>
            </w:r>
            <w:r w:rsidR="004E48D0">
              <w:rPr>
                <w:noProof/>
                <w:webHidden/>
              </w:rPr>
            </w:r>
            <w:r w:rsidR="004E48D0">
              <w:rPr>
                <w:noProof/>
                <w:webHidden/>
              </w:rPr>
              <w:fldChar w:fldCharType="separate"/>
            </w:r>
            <w:r w:rsidR="00023F2F">
              <w:rPr>
                <w:noProof/>
                <w:webHidden/>
              </w:rPr>
              <w:t>4</w:t>
            </w:r>
            <w:r w:rsidR="004E48D0">
              <w:rPr>
                <w:noProof/>
                <w:webHidden/>
              </w:rPr>
              <w:fldChar w:fldCharType="end"/>
            </w:r>
          </w:hyperlink>
        </w:p>
        <w:p w:rsidR="001433B4" w:rsidRDefault="00856542">
          <w:pPr>
            <w:pStyle w:val="TOC2"/>
            <w:tabs>
              <w:tab w:val="right" w:leader="dot" w:pos="9062"/>
            </w:tabs>
            <w:rPr>
              <w:noProof/>
            </w:rPr>
          </w:pPr>
          <w:hyperlink w:anchor="_Toc532373498" w:history="1">
            <w:r w:rsidR="001433B4" w:rsidRPr="00920B64">
              <w:rPr>
                <w:rStyle w:val="Hyperlink"/>
                <w:noProof/>
                <w:lang w:val="en-GB"/>
              </w:rPr>
              <w:t>CBA: Cost-benefit analysis</w:t>
            </w:r>
            <w:r w:rsidR="001433B4">
              <w:rPr>
                <w:noProof/>
                <w:webHidden/>
              </w:rPr>
              <w:tab/>
            </w:r>
            <w:r w:rsidR="004E48D0">
              <w:rPr>
                <w:noProof/>
                <w:webHidden/>
              </w:rPr>
              <w:fldChar w:fldCharType="begin"/>
            </w:r>
            <w:r w:rsidR="001433B4">
              <w:rPr>
                <w:noProof/>
                <w:webHidden/>
              </w:rPr>
              <w:instrText xml:space="preserve"> PAGEREF _Toc532373498 \h </w:instrText>
            </w:r>
            <w:r w:rsidR="004E48D0">
              <w:rPr>
                <w:noProof/>
                <w:webHidden/>
              </w:rPr>
            </w:r>
            <w:r w:rsidR="004E48D0">
              <w:rPr>
                <w:noProof/>
                <w:webHidden/>
              </w:rPr>
              <w:fldChar w:fldCharType="separate"/>
            </w:r>
            <w:r w:rsidR="00023F2F">
              <w:rPr>
                <w:noProof/>
                <w:webHidden/>
              </w:rPr>
              <w:t>5</w:t>
            </w:r>
            <w:r w:rsidR="004E48D0">
              <w:rPr>
                <w:noProof/>
                <w:webHidden/>
              </w:rPr>
              <w:fldChar w:fldCharType="end"/>
            </w:r>
          </w:hyperlink>
        </w:p>
        <w:p w:rsidR="001433B4" w:rsidRDefault="00856542">
          <w:pPr>
            <w:pStyle w:val="TOC2"/>
            <w:tabs>
              <w:tab w:val="right" w:leader="dot" w:pos="9062"/>
            </w:tabs>
            <w:rPr>
              <w:noProof/>
            </w:rPr>
          </w:pPr>
          <w:hyperlink w:anchor="_Toc532373499" w:history="1">
            <w:r w:rsidR="001433B4" w:rsidRPr="00920B64">
              <w:rPr>
                <w:rStyle w:val="Hyperlink"/>
                <w:noProof/>
                <w:lang w:val="en-GB"/>
              </w:rPr>
              <w:t>LM services</w:t>
            </w:r>
            <w:r w:rsidR="001433B4">
              <w:rPr>
                <w:noProof/>
                <w:webHidden/>
              </w:rPr>
              <w:tab/>
            </w:r>
            <w:r w:rsidR="004E48D0">
              <w:rPr>
                <w:noProof/>
                <w:webHidden/>
              </w:rPr>
              <w:fldChar w:fldCharType="begin"/>
            </w:r>
            <w:r w:rsidR="001433B4">
              <w:rPr>
                <w:noProof/>
                <w:webHidden/>
              </w:rPr>
              <w:instrText xml:space="preserve"> PAGEREF _Toc532373499 \h </w:instrText>
            </w:r>
            <w:r w:rsidR="004E48D0">
              <w:rPr>
                <w:noProof/>
                <w:webHidden/>
              </w:rPr>
            </w:r>
            <w:r w:rsidR="004E48D0">
              <w:rPr>
                <w:noProof/>
                <w:webHidden/>
              </w:rPr>
              <w:fldChar w:fldCharType="separate"/>
            </w:r>
            <w:r w:rsidR="00023F2F">
              <w:rPr>
                <w:noProof/>
                <w:webHidden/>
              </w:rPr>
              <w:t>6</w:t>
            </w:r>
            <w:r w:rsidR="004E48D0">
              <w:rPr>
                <w:noProof/>
                <w:webHidden/>
              </w:rPr>
              <w:fldChar w:fldCharType="end"/>
            </w:r>
          </w:hyperlink>
        </w:p>
        <w:p w:rsidR="001433B4" w:rsidRDefault="00856542">
          <w:pPr>
            <w:pStyle w:val="TOC2"/>
            <w:tabs>
              <w:tab w:val="right" w:leader="dot" w:pos="9062"/>
            </w:tabs>
            <w:rPr>
              <w:noProof/>
            </w:rPr>
          </w:pPr>
          <w:hyperlink w:anchor="_Toc532373500" w:history="1">
            <w:r w:rsidR="001433B4" w:rsidRPr="00920B64">
              <w:rPr>
                <w:rStyle w:val="Hyperlink"/>
                <w:noProof/>
                <w:lang w:val="en-GB"/>
              </w:rPr>
              <w:t>ALMM : Active Labour Market Measures</w:t>
            </w:r>
            <w:r w:rsidR="001433B4">
              <w:rPr>
                <w:noProof/>
                <w:webHidden/>
              </w:rPr>
              <w:tab/>
            </w:r>
            <w:r w:rsidR="004E48D0">
              <w:rPr>
                <w:noProof/>
                <w:webHidden/>
              </w:rPr>
              <w:fldChar w:fldCharType="begin"/>
            </w:r>
            <w:r w:rsidR="001433B4">
              <w:rPr>
                <w:noProof/>
                <w:webHidden/>
              </w:rPr>
              <w:instrText xml:space="preserve"> PAGEREF _Toc532373500 \h </w:instrText>
            </w:r>
            <w:r w:rsidR="004E48D0">
              <w:rPr>
                <w:noProof/>
                <w:webHidden/>
              </w:rPr>
            </w:r>
            <w:r w:rsidR="004E48D0">
              <w:rPr>
                <w:noProof/>
                <w:webHidden/>
              </w:rPr>
              <w:fldChar w:fldCharType="separate"/>
            </w:r>
            <w:r w:rsidR="00023F2F">
              <w:rPr>
                <w:noProof/>
                <w:webHidden/>
              </w:rPr>
              <w:t>6</w:t>
            </w:r>
            <w:r w:rsidR="004E48D0">
              <w:rPr>
                <w:noProof/>
                <w:webHidden/>
              </w:rPr>
              <w:fldChar w:fldCharType="end"/>
            </w:r>
          </w:hyperlink>
        </w:p>
        <w:p w:rsidR="001433B4" w:rsidRDefault="00856542">
          <w:pPr>
            <w:pStyle w:val="TOC2"/>
            <w:tabs>
              <w:tab w:val="right" w:leader="dot" w:pos="9062"/>
            </w:tabs>
            <w:rPr>
              <w:noProof/>
            </w:rPr>
          </w:pPr>
          <w:hyperlink w:anchor="_Toc532373501" w:history="1">
            <w:r w:rsidR="001433B4" w:rsidRPr="00920B64">
              <w:rPr>
                <w:rStyle w:val="Hyperlink"/>
                <w:noProof/>
                <w:lang w:val="en-GB"/>
              </w:rPr>
              <w:t>Suggestions for the NAF</w:t>
            </w:r>
            <w:r w:rsidR="001433B4">
              <w:rPr>
                <w:noProof/>
                <w:webHidden/>
              </w:rPr>
              <w:tab/>
            </w:r>
            <w:r w:rsidR="004E48D0">
              <w:rPr>
                <w:noProof/>
                <w:webHidden/>
              </w:rPr>
              <w:fldChar w:fldCharType="begin"/>
            </w:r>
            <w:r w:rsidR="001433B4">
              <w:rPr>
                <w:noProof/>
                <w:webHidden/>
              </w:rPr>
              <w:instrText xml:space="preserve"> PAGEREF _Toc532373501 \h </w:instrText>
            </w:r>
            <w:r w:rsidR="004E48D0">
              <w:rPr>
                <w:noProof/>
                <w:webHidden/>
              </w:rPr>
            </w:r>
            <w:r w:rsidR="004E48D0">
              <w:rPr>
                <w:noProof/>
                <w:webHidden/>
              </w:rPr>
              <w:fldChar w:fldCharType="separate"/>
            </w:r>
            <w:r w:rsidR="00023F2F">
              <w:rPr>
                <w:noProof/>
                <w:webHidden/>
              </w:rPr>
              <w:t>7</w:t>
            </w:r>
            <w:r w:rsidR="004E48D0">
              <w:rPr>
                <w:noProof/>
                <w:webHidden/>
              </w:rPr>
              <w:fldChar w:fldCharType="end"/>
            </w:r>
          </w:hyperlink>
        </w:p>
        <w:p w:rsidR="001433B4" w:rsidRDefault="00856542">
          <w:pPr>
            <w:pStyle w:val="TOC1"/>
            <w:tabs>
              <w:tab w:val="right" w:leader="dot" w:pos="9062"/>
            </w:tabs>
            <w:rPr>
              <w:noProof/>
            </w:rPr>
          </w:pPr>
          <w:hyperlink w:anchor="_Toc532373502" w:history="1">
            <w:r w:rsidR="001433B4" w:rsidRPr="00920B64">
              <w:rPr>
                <w:rStyle w:val="Hyperlink"/>
                <w:noProof/>
                <w:lang w:val="en-GB"/>
              </w:rPr>
              <w:t>References</w:t>
            </w:r>
            <w:r w:rsidR="001433B4">
              <w:rPr>
                <w:noProof/>
                <w:webHidden/>
              </w:rPr>
              <w:tab/>
            </w:r>
            <w:r w:rsidR="004E48D0">
              <w:rPr>
                <w:noProof/>
                <w:webHidden/>
              </w:rPr>
              <w:fldChar w:fldCharType="begin"/>
            </w:r>
            <w:r w:rsidR="001433B4">
              <w:rPr>
                <w:noProof/>
                <w:webHidden/>
              </w:rPr>
              <w:instrText xml:space="preserve"> PAGEREF _Toc532373502 \h </w:instrText>
            </w:r>
            <w:r w:rsidR="004E48D0">
              <w:rPr>
                <w:noProof/>
                <w:webHidden/>
              </w:rPr>
            </w:r>
            <w:r w:rsidR="004E48D0">
              <w:rPr>
                <w:noProof/>
                <w:webHidden/>
              </w:rPr>
              <w:fldChar w:fldCharType="separate"/>
            </w:r>
            <w:r w:rsidR="00023F2F">
              <w:rPr>
                <w:noProof/>
                <w:webHidden/>
              </w:rPr>
              <w:t>9</w:t>
            </w:r>
            <w:r w:rsidR="004E48D0">
              <w:rPr>
                <w:noProof/>
                <w:webHidden/>
              </w:rPr>
              <w:fldChar w:fldCharType="end"/>
            </w:r>
          </w:hyperlink>
        </w:p>
        <w:p w:rsidR="001433B4" w:rsidRDefault="004E48D0">
          <w:r>
            <w:rPr>
              <w:b/>
              <w:bCs/>
            </w:rPr>
            <w:fldChar w:fldCharType="end"/>
          </w:r>
        </w:p>
      </w:sdtContent>
    </w:sdt>
    <w:p w:rsidR="0056675C" w:rsidRDefault="0056675C">
      <w:r>
        <w:br w:type="page"/>
      </w:r>
    </w:p>
    <w:p w:rsidR="0056675C" w:rsidRDefault="0056675C" w:rsidP="0056675C">
      <w:pPr>
        <w:pStyle w:val="Heading1"/>
        <w:rPr>
          <w:lang w:val="en-GB"/>
        </w:rPr>
      </w:pPr>
      <w:bookmarkStart w:id="8" w:name="_Toc532373496"/>
      <w:r w:rsidRPr="0056675C">
        <w:rPr>
          <w:lang w:val="en-GB"/>
        </w:rPr>
        <w:lastRenderedPageBreak/>
        <w:t>Rationale</w:t>
      </w:r>
      <w:bookmarkEnd w:id="8"/>
      <w:r w:rsidRPr="0056675C">
        <w:rPr>
          <w:lang w:val="en-GB"/>
        </w:rPr>
        <w:t xml:space="preserve"> </w:t>
      </w:r>
    </w:p>
    <w:p w:rsidR="00C4632D" w:rsidRDefault="00C4632D">
      <w:pPr>
        <w:rPr>
          <w:lang w:val="en-GB"/>
        </w:rPr>
      </w:pPr>
    </w:p>
    <w:p w:rsidR="007357DD" w:rsidRDefault="00C4632D" w:rsidP="00CD71FA">
      <w:pPr>
        <w:jc w:val="both"/>
        <w:rPr>
          <w:lang w:val="en-GB"/>
        </w:rPr>
      </w:pPr>
      <w:r>
        <w:rPr>
          <w:lang w:val="en-GB"/>
        </w:rPr>
        <w:t>The aim of this paper is to describe the labour market services and active lab</w:t>
      </w:r>
      <w:r w:rsidR="006C1B3F">
        <w:rPr>
          <w:lang w:val="en-GB"/>
        </w:rPr>
        <w:t>our market measures as categorized</w:t>
      </w:r>
      <w:r>
        <w:rPr>
          <w:lang w:val="en-GB"/>
        </w:rPr>
        <w:t xml:space="preserve"> by the EUROSTAT and to compare these with the current status quo in Jordan. The primary beneficiary </w:t>
      </w:r>
      <w:r w:rsidR="002437C6">
        <w:rPr>
          <w:lang w:val="en-GB"/>
        </w:rPr>
        <w:t xml:space="preserve">of the activity </w:t>
      </w:r>
      <w:r>
        <w:rPr>
          <w:lang w:val="en-GB"/>
        </w:rPr>
        <w:t xml:space="preserve">is the NAF </w:t>
      </w:r>
      <w:r w:rsidR="00CB196D">
        <w:rPr>
          <w:lang w:val="en-GB"/>
        </w:rPr>
        <w:t xml:space="preserve">but also the role of the employment offices supersized by the </w:t>
      </w:r>
      <w:proofErr w:type="spellStart"/>
      <w:r w:rsidR="00CB196D">
        <w:rPr>
          <w:lang w:val="en-GB"/>
        </w:rPr>
        <w:t>MoL</w:t>
      </w:r>
      <w:proofErr w:type="spellEnd"/>
      <w:r w:rsidR="00CD71FA">
        <w:rPr>
          <w:lang w:val="en-GB"/>
        </w:rPr>
        <w:t>,</w:t>
      </w:r>
      <w:r w:rsidR="00CB196D">
        <w:rPr>
          <w:lang w:val="en-GB"/>
        </w:rPr>
        <w:t xml:space="preserve"> are essential</w:t>
      </w:r>
      <w:r w:rsidR="00CD71FA">
        <w:rPr>
          <w:lang w:val="en-GB"/>
        </w:rPr>
        <w:t xml:space="preserve"> in implementing any structured labour market policy (LMP) in the country</w:t>
      </w:r>
      <w:r w:rsidR="00CB196D">
        <w:rPr>
          <w:lang w:val="en-GB"/>
        </w:rPr>
        <w:t xml:space="preserve">. </w:t>
      </w:r>
      <w:r w:rsidR="007357DD">
        <w:rPr>
          <w:lang w:val="en-GB"/>
        </w:rPr>
        <w:t>The rationale of this Review Paper is</w:t>
      </w:r>
      <w:r w:rsidR="00CD71FA">
        <w:rPr>
          <w:lang w:val="en-GB"/>
        </w:rPr>
        <w:t xml:space="preserve"> to support the NAF</w:t>
      </w:r>
      <w:r w:rsidR="007357DD">
        <w:rPr>
          <w:lang w:val="en-GB"/>
        </w:rPr>
        <w:t xml:space="preserve"> daily operation regarding the activation of active age and healthy beneficiaries. This assignment is still relatively new for the NAF in Jordan and based on our </w:t>
      </w:r>
      <w:r w:rsidR="004262A7">
        <w:rPr>
          <w:lang w:val="en-GB"/>
        </w:rPr>
        <w:t xml:space="preserve">previous </w:t>
      </w:r>
      <w:r w:rsidR="007357DD">
        <w:rPr>
          <w:lang w:val="en-GB"/>
        </w:rPr>
        <w:t xml:space="preserve">findings (see reports under project activity 1.4.1.) </w:t>
      </w:r>
      <w:r w:rsidR="004262A7">
        <w:rPr>
          <w:lang w:val="en-GB"/>
        </w:rPr>
        <w:t xml:space="preserve">a major mission statement and workflow restructuring is necessary in order to achieve better outcomes. </w:t>
      </w:r>
    </w:p>
    <w:p w:rsidR="00094DF2" w:rsidRDefault="00094DF2" w:rsidP="001E6D5C">
      <w:pPr>
        <w:pStyle w:val="Heading1"/>
        <w:rPr>
          <w:lang w:val="en-GB"/>
        </w:rPr>
      </w:pPr>
      <w:bookmarkStart w:id="9" w:name="_Toc532373497"/>
      <w:r>
        <w:rPr>
          <w:lang w:val="en-GB"/>
        </w:rPr>
        <w:t>LMP: Labour Market Policy</w:t>
      </w:r>
      <w:bookmarkEnd w:id="9"/>
      <w:r>
        <w:rPr>
          <w:lang w:val="en-GB"/>
        </w:rPr>
        <w:t xml:space="preserve"> </w:t>
      </w:r>
    </w:p>
    <w:p w:rsidR="001E6D5C" w:rsidRPr="001E6D5C" w:rsidRDefault="001E6D5C" w:rsidP="001E6D5C">
      <w:pPr>
        <w:rPr>
          <w:lang w:val="en-GB"/>
        </w:rPr>
      </w:pPr>
    </w:p>
    <w:p w:rsidR="000F3AED" w:rsidRDefault="000F3AED" w:rsidP="00CD71FA">
      <w:pPr>
        <w:jc w:val="both"/>
        <w:rPr>
          <w:lang w:val="en-GB"/>
        </w:rPr>
      </w:pPr>
      <w:r>
        <w:rPr>
          <w:lang w:val="en-GB"/>
        </w:rPr>
        <w:t>Once we are discussing Labour Market Policies (LMP) the aim and definition of these national policies is the following; “</w:t>
      </w:r>
      <w:r w:rsidRPr="000F3AED">
        <w:rPr>
          <w:lang w:val="en-GB"/>
        </w:rPr>
        <w:t>Public interventions in the labour market aimed at reaching its efficient functioning and correcting disequilibria and which can be distinguished from other general employment policy interventions in that they act selectively to favour particular groups in the labour market.</w:t>
      </w:r>
      <w:r>
        <w:rPr>
          <w:lang w:val="en-GB"/>
        </w:rPr>
        <w:t xml:space="preserve">” (Eurostat, 2018). </w:t>
      </w:r>
    </w:p>
    <w:p w:rsidR="00AB64E8" w:rsidRDefault="00AB64E8" w:rsidP="00CD71FA">
      <w:pPr>
        <w:jc w:val="both"/>
        <w:rPr>
          <w:lang w:val="en-GB"/>
        </w:rPr>
      </w:pPr>
      <w:r>
        <w:rPr>
          <w:lang w:val="en-GB"/>
        </w:rPr>
        <w:t xml:space="preserve">Labour market policy also has a global standard; it is described by the ILO Convention No. 122. </w:t>
      </w:r>
      <w:r w:rsidR="00205E8C">
        <w:rPr>
          <w:lang w:val="en-GB"/>
        </w:rPr>
        <w:t xml:space="preserve">According the ILO norms the national employment policies have been following three key goals and values; </w:t>
      </w:r>
    </w:p>
    <w:p w:rsidR="00205E8C" w:rsidRPr="00205E8C" w:rsidRDefault="00205E8C" w:rsidP="00205E8C">
      <w:pPr>
        <w:numPr>
          <w:ilvl w:val="0"/>
          <w:numId w:val="2"/>
        </w:numPr>
        <w:shd w:val="clear" w:color="auto" w:fill="FFFFFF"/>
        <w:spacing w:after="0" w:line="240" w:lineRule="auto"/>
        <w:ind w:left="476" w:hanging="357"/>
        <w:rPr>
          <w:lang w:val="en-GB"/>
        </w:rPr>
      </w:pPr>
      <w:r w:rsidRPr="00205E8C">
        <w:rPr>
          <w:lang w:val="en-GB"/>
        </w:rPr>
        <w:t>(a) there is work for all who are available for and seeking work;</w:t>
      </w:r>
    </w:p>
    <w:p w:rsidR="00205E8C" w:rsidRPr="00205E8C" w:rsidRDefault="00205E8C" w:rsidP="00205E8C">
      <w:pPr>
        <w:numPr>
          <w:ilvl w:val="0"/>
          <w:numId w:val="2"/>
        </w:numPr>
        <w:shd w:val="clear" w:color="auto" w:fill="FFFFFF"/>
        <w:spacing w:after="0" w:line="240" w:lineRule="auto"/>
        <w:ind w:left="476" w:hanging="357"/>
        <w:rPr>
          <w:lang w:val="en-GB"/>
        </w:rPr>
      </w:pPr>
      <w:r w:rsidRPr="00205E8C">
        <w:rPr>
          <w:lang w:val="en-GB"/>
        </w:rPr>
        <w:t>(b) such work is as productive as possible;</w:t>
      </w:r>
    </w:p>
    <w:p w:rsidR="00205E8C" w:rsidRPr="00205E8C" w:rsidRDefault="00205E8C" w:rsidP="00205E8C">
      <w:pPr>
        <w:numPr>
          <w:ilvl w:val="0"/>
          <w:numId w:val="2"/>
        </w:numPr>
        <w:shd w:val="clear" w:color="auto" w:fill="FFFFFF"/>
        <w:spacing w:after="0" w:line="240" w:lineRule="auto"/>
        <w:ind w:left="476" w:hanging="357"/>
        <w:rPr>
          <w:lang w:val="en-GB"/>
        </w:rPr>
      </w:pPr>
      <w:r w:rsidRPr="00205E8C">
        <w:rPr>
          <w:lang w:val="en-GB"/>
        </w:rPr>
        <w:t>(c) there is freedom of choice of employment and the fullest possible opportunity for each worker to qualify for, and to use his skills and endowments in, a job for which he is well suited, irrespective of race, colour, sex, religion, political opinion, national extraction or social origin.</w:t>
      </w:r>
    </w:p>
    <w:p w:rsidR="000B5572" w:rsidRDefault="000B5572" w:rsidP="00CD71FA">
      <w:pPr>
        <w:jc w:val="both"/>
        <w:rPr>
          <w:lang w:val="en-GB"/>
        </w:rPr>
      </w:pPr>
    </w:p>
    <w:p w:rsidR="00205E8C" w:rsidRDefault="000B5572" w:rsidP="00CD71FA">
      <w:pPr>
        <w:jc w:val="both"/>
        <w:rPr>
          <w:lang w:val="en-GB"/>
        </w:rPr>
      </w:pPr>
      <w:r>
        <w:rPr>
          <w:lang w:val="en-GB"/>
        </w:rPr>
        <w:t xml:space="preserve">These key principles are also useful to evaluate national labour policies or </w:t>
      </w:r>
      <w:r w:rsidR="00F26972">
        <w:rPr>
          <w:lang w:val="en-GB"/>
        </w:rPr>
        <w:t>to</w:t>
      </w:r>
      <w:r>
        <w:rPr>
          <w:lang w:val="en-GB"/>
        </w:rPr>
        <w:t xml:space="preserve"> assess the further development opportunities of the national structures. </w:t>
      </w:r>
      <w:r w:rsidR="00F26972">
        <w:rPr>
          <w:lang w:val="en-GB"/>
        </w:rPr>
        <w:t xml:space="preserve">The labour market policies have double roles to play in every country and there are contradictions between these targets. </w:t>
      </w:r>
    </w:p>
    <w:p w:rsidR="00F26972" w:rsidRDefault="00F26972" w:rsidP="00F26972">
      <w:pPr>
        <w:pStyle w:val="ListParagraph"/>
        <w:numPr>
          <w:ilvl w:val="0"/>
          <w:numId w:val="3"/>
        </w:numPr>
        <w:jc w:val="both"/>
        <w:rPr>
          <w:lang w:val="en-GB"/>
        </w:rPr>
      </w:pPr>
      <w:r>
        <w:rPr>
          <w:lang w:val="en-GB"/>
        </w:rPr>
        <w:t xml:space="preserve">support the skills development and </w:t>
      </w:r>
      <w:r w:rsidR="00BF45D9">
        <w:rPr>
          <w:lang w:val="en-GB"/>
        </w:rPr>
        <w:t xml:space="preserve">skill </w:t>
      </w:r>
      <w:r>
        <w:rPr>
          <w:lang w:val="en-GB"/>
        </w:rPr>
        <w:t xml:space="preserve">acquisition of citizens to make the employers and the national economy more competitive in the global market </w:t>
      </w:r>
    </w:p>
    <w:p w:rsidR="00CD71FA" w:rsidRDefault="00F26972" w:rsidP="00CD71FA">
      <w:pPr>
        <w:pStyle w:val="ListParagraph"/>
        <w:numPr>
          <w:ilvl w:val="0"/>
          <w:numId w:val="3"/>
        </w:numPr>
        <w:jc w:val="both"/>
        <w:rPr>
          <w:lang w:val="en-GB"/>
        </w:rPr>
      </w:pPr>
      <w:r>
        <w:rPr>
          <w:lang w:val="en-GB"/>
        </w:rPr>
        <w:t xml:space="preserve">and </w:t>
      </w:r>
      <w:proofErr w:type="gramStart"/>
      <w:r>
        <w:rPr>
          <w:lang w:val="en-GB"/>
        </w:rPr>
        <w:t>to  support</w:t>
      </w:r>
      <w:proofErr w:type="gramEnd"/>
      <w:r>
        <w:rPr>
          <w:lang w:val="en-GB"/>
        </w:rPr>
        <w:t xml:space="preserve"> social inclusion as well as the </w:t>
      </w:r>
      <w:r w:rsidR="0052075D">
        <w:rPr>
          <w:lang w:val="en-GB"/>
        </w:rPr>
        <w:t xml:space="preserve">free but also productive choice of the individuals towards vocational/higher education and towards occupations and careers. </w:t>
      </w:r>
    </w:p>
    <w:p w:rsidR="0052075D" w:rsidRDefault="0052075D" w:rsidP="0052075D">
      <w:pPr>
        <w:jc w:val="both"/>
        <w:rPr>
          <w:lang w:val="en-GB"/>
        </w:rPr>
      </w:pPr>
      <w:r>
        <w:rPr>
          <w:lang w:val="en-GB"/>
        </w:rPr>
        <w:t xml:space="preserve">In every country there is a dynamic and changeable balance between these two targets. </w:t>
      </w:r>
      <w:r w:rsidR="00716B79">
        <w:rPr>
          <w:lang w:val="en-GB"/>
        </w:rPr>
        <w:t xml:space="preserve">The balance has been influenced by political values and choices but also by the overall structure of the economy and the labour market as such. For example the geographical location of the country, the age structure and many other factors have been influencing this balance. </w:t>
      </w:r>
      <w:r w:rsidR="00331CEB">
        <w:rPr>
          <w:lang w:val="en-GB"/>
        </w:rPr>
        <w:t xml:space="preserve">From the perspective of the decision makers value-based priorities need to be set before any LMP can be mobilized. </w:t>
      </w:r>
    </w:p>
    <w:p w:rsidR="00BD0FE8" w:rsidRDefault="005E12A1" w:rsidP="0052075D">
      <w:pPr>
        <w:jc w:val="both"/>
        <w:rPr>
          <w:lang w:val="en-GB"/>
        </w:rPr>
      </w:pPr>
      <w:r>
        <w:rPr>
          <w:lang w:val="en-GB"/>
        </w:rPr>
        <w:lastRenderedPageBreak/>
        <w:t>In the case of Jordan</w:t>
      </w:r>
      <w:r w:rsidR="00BD0FE8">
        <w:rPr>
          <w:lang w:val="en-GB"/>
        </w:rPr>
        <w:t xml:space="preserve"> the National Employment Strategy 2011-2020 sets clear targets. </w:t>
      </w:r>
      <w:r w:rsidR="006F6B96">
        <w:rPr>
          <w:lang w:val="en-GB"/>
        </w:rPr>
        <w:t>The strategy very clearly stated the low level of job creation the number one problem of the country but also highlights another issue; “</w:t>
      </w:r>
      <w:r w:rsidR="006F6B96" w:rsidRPr="006F6B96">
        <w:rPr>
          <w:lang w:val="en-GB"/>
        </w:rPr>
        <w:t xml:space="preserve">The second condition draws from </w:t>
      </w:r>
      <w:r w:rsidR="006F6B96" w:rsidRPr="006F6B96">
        <w:rPr>
          <w:b/>
          <w:i/>
          <w:lang w:val="en-GB"/>
        </w:rPr>
        <w:t>Jordan’s limited resources and the pressing nature of the unemployment problem.</w:t>
      </w:r>
      <w:r w:rsidR="006F6B96" w:rsidRPr="006F6B96">
        <w:rPr>
          <w:lang w:val="en-GB"/>
        </w:rPr>
        <w:t xml:space="preserve"> Therefore, the NES had to focus on practical solutions with quantifiable performance indicators as well as mechanisms for assessment and corrective action where needed.</w:t>
      </w:r>
      <w:r w:rsidR="006F6B96">
        <w:rPr>
          <w:lang w:val="en-GB"/>
        </w:rPr>
        <w:t>” (NES, 2011).</w:t>
      </w:r>
    </w:p>
    <w:p w:rsidR="00E41B2A" w:rsidRDefault="00E41B2A" w:rsidP="0052075D">
      <w:pPr>
        <w:jc w:val="both"/>
        <w:rPr>
          <w:lang w:val="en-GB"/>
        </w:rPr>
      </w:pPr>
      <w:r>
        <w:rPr>
          <w:lang w:val="en-GB"/>
        </w:rPr>
        <w:t xml:space="preserve">A recently published ILO report sharply describes the challenges of the Jordanian labour market; </w:t>
      </w:r>
    </w:p>
    <w:p w:rsidR="005E12A1" w:rsidRDefault="00E41B2A" w:rsidP="0052075D">
      <w:pPr>
        <w:jc w:val="both"/>
        <w:rPr>
          <w:lang w:val="en-GB"/>
        </w:rPr>
      </w:pPr>
      <w:r>
        <w:rPr>
          <w:lang w:val="en-GB"/>
        </w:rPr>
        <w:t>“</w:t>
      </w:r>
      <w:r w:rsidRPr="00E41B2A">
        <w:rPr>
          <w:lang w:val="en-GB"/>
        </w:rPr>
        <w:t xml:space="preserve">The entry of Syrians into the Jordanian labour market has exacerbated an already challenging situation. </w:t>
      </w:r>
      <w:r w:rsidRPr="00C02432">
        <w:rPr>
          <w:b/>
          <w:i/>
          <w:lang w:val="en-GB"/>
        </w:rPr>
        <w:t>The labour market is now comprised of three distinct groups – Jordanians, migrant workers and refugees</w:t>
      </w:r>
      <w:r w:rsidRPr="00E41B2A">
        <w:rPr>
          <w:lang w:val="en-GB"/>
        </w:rPr>
        <w:t xml:space="preserve"> –but it hasn’t always been this way.  Until the 1970s Jordanians worked in all occupations and all sectors.  Starting in the 1970s, many educated Jordanians left to work in the Gulf.  At the same time, the </w:t>
      </w:r>
      <w:r w:rsidRPr="00C02432">
        <w:rPr>
          <w:b/>
          <w:i/>
          <w:lang w:val="en-GB"/>
        </w:rPr>
        <w:t>new wealth allowed Jordan to bring in increasing numbers of migrant workers.  The number of migrant workers tripled in the past 15 years</w:t>
      </w:r>
      <w:r w:rsidRPr="00E41B2A">
        <w:rPr>
          <w:lang w:val="en-GB"/>
        </w:rPr>
        <w:t xml:space="preserve">, with correspondingly large impacts on Jordanian workers and on the economy as a whole.  Today, many Jordanians, work or aspire to work in the public sector.  Within the </w:t>
      </w:r>
      <w:r w:rsidRPr="00C02432">
        <w:rPr>
          <w:b/>
          <w:i/>
          <w:lang w:val="en-GB"/>
        </w:rPr>
        <w:t>private sector, many occupations have become dominated by specific nationalities of migrant workers</w:t>
      </w:r>
      <w:r w:rsidRPr="00E41B2A">
        <w:rPr>
          <w:lang w:val="en-GB"/>
        </w:rPr>
        <w:t xml:space="preserve"> and </w:t>
      </w:r>
      <w:r w:rsidRPr="00C02432">
        <w:rPr>
          <w:b/>
          <w:i/>
          <w:lang w:val="en-GB"/>
        </w:rPr>
        <w:t>the informal sector</w:t>
      </w:r>
      <w:r w:rsidRPr="00E41B2A">
        <w:rPr>
          <w:lang w:val="en-GB"/>
        </w:rPr>
        <w:t xml:space="preserve"> comprises a </w:t>
      </w:r>
      <w:r w:rsidRPr="00C02432">
        <w:rPr>
          <w:b/>
          <w:i/>
          <w:lang w:val="en-GB"/>
        </w:rPr>
        <w:t>significant share of the economy</w:t>
      </w:r>
      <w:r w:rsidRPr="00E41B2A">
        <w:rPr>
          <w:lang w:val="en-GB"/>
        </w:rPr>
        <w:t>.</w:t>
      </w:r>
      <w:r>
        <w:rPr>
          <w:lang w:val="en-GB"/>
        </w:rPr>
        <w:t>”</w:t>
      </w:r>
      <w:r w:rsidR="005E12A1">
        <w:rPr>
          <w:lang w:val="en-GB"/>
        </w:rPr>
        <w:t xml:space="preserve"> </w:t>
      </w:r>
      <w:r w:rsidR="00B91FC9">
        <w:rPr>
          <w:lang w:val="en-GB"/>
        </w:rPr>
        <w:t>(ILO, 2017</w:t>
      </w:r>
      <w:r w:rsidR="00067CD4">
        <w:rPr>
          <w:lang w:val="en-GB"/>
        </w:rPr>
        <w:t>)</w:t>
      </w:r>
    </w:p>
    <w:p w:rsidR="00A7285C" w:rsidRDefault="00A7285C" w:rsidP="0052075D">
      <w:pPr>
        <w:jc w:val="both"/>
        <w:rPr>
          <w:lang w:val="en-GB"/>
        </w:rPr>
      </w:pPr>
      <w:r>
        <w:rPr>
          <w:lang w:val="en-GB"/>
        </w:rPr>
        <w:t xml:space="preserve">This also means that any intervention in the Jordanian labour market must address the followings; </w:t>
      </w:r>
    </w:p>
    <w:p w:rsidR="00145BD0" w:rsidRDefault="00145BD0" w:rsidP="00A7285C">
      <w:pPr>
        <w:pStyle w:val="ListParagraph"/>
        <w:numPr>
          <w:ilvl w:val="0"/>
          <w:numId w:val="4"/>
        </w:numPr>
        <w:jc w:val="both"/>
        <w:rPr>
          <w:lang w:val="en-GB"/>
        </w:rPr>
      </w:pPr>
      <w:r>
        <w:rPr>
          <w:lang w:val="en-GB"/>
        </w:rPr>
        <w:t xml:space="preserve">Jordanian citizens may need to accept job offers they haven’t been accepted since the 1970’s, this fact has serious effect on the living standards and related with the level of migrant workers in the country </w:t>
      </w:r>
    </w:p>
    <w:p w:rsidR="00145BD0" w:rsidRDefault="00A73C55" w:rsidP="00A7285C">
      <w:pPr>
        <w:pStyle w:val="ListParagraph"/>
        <w:numPr>
          <w:ilvl w:val="0"/>
          <w:numId w:val="4"/>
        </w:numPr>
        <w:jc w:val="both"/>
        <w:rPr>
          <w:lang w:val="en-GB"/>
        </w:rPr>
      </w:pPr>
      <w:r>
        <w:rPr>
          <w:lang w:val="en-GB"/>
        </w:rPr>
        <w:t>there are no job offers for all registered for jobs in different systems (</w:t>
      </w:r>
      <w:proofErr w:type="spellStart"/>
      <w:r>
        <w:rPr>
          <w:lang w:val="en-GB"/>
        </w:rPr>
        <w:t>MoL</w:t>
      </w:r>
      <w:proofErr w:type="spellEnd"/>
      <w:r>
        <w:rPr>
          <w:lang w:val="en-GB"/>
        </w:rPr>
        <w:t xml:space="preserve">, NAF or Civil Service Bureau) so alternative job creation need to be discussed </w:t>
      </w:r>
    </w:p>
    <w:p w:rsidR="00A7285C" w:rsidRDefault="00145BD0" w:rsidP="00A7285C">
      <w:pPr>
        <w:pStyle w:val="ListParagraph"/>
        <w:numPr>
          <w:ilvl w:val="0"/>
          <w:numId w:val="4"/>
        </w:numPr>
        <w:jc w:val="both"/>
        <w:rPr>
          <w:lang w:val="en-GB"/>
        </w:rPr>
      </w:pPr>
      <w:r>
        <w:rPr>
          <w:lang w:val="en-GB"/>
        </w:rPr>
        <w:t xml:space="preserve">the segmented institutional framework of the labour exchange system need to be tackled (NAF, </w:t>
      </w:r>
      <w:proofErr w:type="spellStart"/>
      <w:r>
        <w:rPr>
          <w:lang w:val="en-GB"/>
        </w:rPr>
        <w:t>MoL</w:t>
      </w:r>
      <w:proofErr w:type="spellEnd"/>
      <w:r>
        <w:rPr>
          <w:lang w:val="en-GB"/>
        </w:rPr>
        <w:t xml:space="preserve"> and other players) </w:t>
      </w:r>
    </w:p>
    <w:p w:rsidR="003802EB" w:rsidRDefault="003802EB" w:rsidP="00A7285C">
      <w:pPr>
        <w:pStyle w:val="ListParagraph"/>
        <w:numPr>
          <w:ilvl w:val="0"/>
          <w:numId w:val="4"/>
        </w:numPr>
        <w:jc w:val="both"/>
        <w:rPr>
          <w:lang w:val="en-GB"/>
        </w:rPr>
      </w:pPr>
      <w:r>
        <w:rPr>
          <w:lang w:val="en-GB"/>
        </w:rPr>
        <w:t xml:space="preserve">a comprehensive Manual for labour market activation and job matching (see reports  under activity 1.4.1.) need to be agreed and adopted by all players </w:t>
      </w:r>
    </w:p>
    <w:p w:rsidR="003802EB" w:rsidRDefault="003802EB" w:rsidP="00A7285C">
      <w:pPr>
        <w:pStyle w:val="ListParagraph"/>
        <w:numPr>
          <w:ilvl w:val="0"/>
          <w:numId w:val="4"/>
        </w:numPr>
        <w:jc w:val="both"/>
        <w:rPr>
          <w:lang w:val="en-GB"/>
        </w:rPr>
      </w:pPr>
      <w:r>
        <w:rPr>
          <w:lang w:val="en-GB"/>
        </w:rPr>
        <w:t xml:space="preserve">a comprehensive active labour market measure catalogue also need to be developed and deployed to the branch offices of the NAF and </w:t>
      </w:r>
      <w:proofErr w:type="spellStart"/>
      <w:r>
        <w:rPr>
          <w:lang w:val="en-GB"/>
        </w:rPr>
        <w:t>MoL</w:t>
      </w:r>
      <w:proofErr w:type="spellEnd"/>
      <w:r>
        <w:rPr>
          <w:lang w:val="en-GB"/>
        </w:rPr>
        <w:t xml:space="preserve"> unless the secondary activation, not directly towards jobs but towards active measures, will stay at an ad hoc level </w:t>
      </w:r>
    </w:p>
    <w:p w:rsidR="003802EB" w:rsidRPr="003802EB" w:rsidRDefault="003802EB" w:rsidP="003802EB">
      <w:pPr>
        <w:ind w:left="360"/>
        <w:jc w:val="both"/>
        <w:rPr>
          <w:lang w:val="en-GB"/>
        </w:rPr>
      </w:pPr>
      <w:r>
        <w:rPr>
          <w:lang w:val="en-GB"/>
        </w:rPr>
        <w:t xml:space="preserve">This paper manly addresses the last challenge. </w:t>
      </w:r>
    </w:p>
    <w:p w:rsidR="008C16A9" w:rsidRDefault="008C16A9" w:rsidP="008C16A9">
      <w:pPr>
        <w:pStyle w:val="Heading2"/>
        <w:rPr>
          <w:lang w:val="en-GB"/>
        </w:rPr>
      </w:pPr>
      <w:bookmarkStart w:id="10" w:name="_Toc532373498"/>
      <w:r>
        <w:rPr>
          <w:lang w:val="en-GB"/>
        </w:rPr>
        <w:t>CBA: Cost-benefit analysis</w:t>
      </w:r>
      <w:bookmarkEnd w:id="10"/>
      <w:r>
        <w:rPr>
          <w:lang w:val="en-GB"/>
        </w:rPr>
        <w:t xml:space="preserve"> </w:t>
      </w:r>
    </w:p>
    <w:p w:rsidR="00B00AC9" w:rsidRDefault="00B00AC9" w:rsidP="00B00AC9">
      <w:pPr>
        <w:rPr>
          <w:lang w:val="en-GB"/>
        </w:rPr>
      </w:pPr>
    </w:p>
    <w:p w:rsidR="00B00AC9" w:rsidRDefault="00B00AC9" w:rsidP="00B00AC9">
      <w:pPr>
        <w:jc w:val="both"/>
        <w:rPr>
          <w:lang w:val="en-GB"/>
        </w:rPr>
      </w:pPr>
      <w:r>
        <w:rPr>
          <w:lang w:val="en-GB"/>
        </w:rPr>
        <w:t xml:space="preserve">With limited resources the choices are also limited. This rule is applicable for every country but it has a key importance in Jordan where the labour market is not able to create enough new jobs and the quality of the vacancies are weak but the labour market exchange </w:t>
      </w:r>
      <w:r w:rsidR="00B573A5">
        <w:rPr>
          <w:lang w:val="en-GB"/>
        </w:rPr>
        <w:t xml:space="preserve">institutions are also highly segmented. There are several hardly connected institutions in the labour market and the clear pathways of the job-seekers as well as the clear support of the employers’ vacancies needs are missing. </w:t>
      </w:r>
    </w:p>
    <w:p w:rsidR="00296930" w:rsidRDefault="00296930" w:rsidP="00B00AC9">
      <w:pPr>
        <w:jc w:val="both"/>
        <w:rPr>
          <w:lang w:val="en-GB"/>
        </w:rPr>
      </w:pPr>
      <w:r w:rsidRPr="00296930">
        <w:rPr>
          <w:lang w:val="en-GB"/>
        </w:rPr>
        <w:lastRenderedPageBreak/>
        <w:t xml:space="preserve">A cost-benefit analysis is a process businesses use to </w:t>
      </w:r>
      <w:r w:rsidR="00D61BBC" w:rsidRPr="00296930">
        <w:rPr>
          <w:lang w:val="en-GB"/>
        </w:rPr>
        <w:t>analyse</w:t>
      </w:r>
      <w:r w:rsidRPr="00296930">
        <w:rPr>
          <w:lang w:val="en-GB"/>
        </w:rPr>
        <w:t> decisions. The business or analyst sums the benefits of a situation or action and then subtracts the costs associated with taking that action. </w:t>
      </w:r>
      <w:r w:rsidR="00BD14C2">
        <w:rPr>
          <w:lang w:val="en-GB"/>
        </w:rPr>
        <w:t xml:space="preserve"> Regarding labour market interventions the state and state institutions need to make clear choices between different labour market services and active measures. E.g. an additional training is more useful for the activation of the inactive but active age citizen or a wage-subsidy works better? </w:t>
      </w:r>
      <w:r w:rsidR="00703946">
        <w:rPr>
          <w:lang w:val="en-GB"/>
        </w:rPr>
        <w:t xml:space="preserve">We only know the answers for these questions if a detailed follow up of the labour market services and measures are in place so the cost of activation vs. the benefits are clearly calculated. </w:t>
      </w:r>
    </w:p>
    <w:p w:rsidR="00703946" w:rsidRDefault="00703946" w:rsidP="00B00AC9">
      <w:pPr>
        <w:jc w:val="both"/>
        <w:rPr>
          <w:lang w:val="en-GB"/>
        </w:rPr>
      </w:pPr>
      <w:r>
        <w:rPr>
          <w:lang w:val="en-GB"/>
        </w:rPr>
        <w:t xml:space="preserve">What does it mean in the daily practice? It means that every government action has a price. Thus is not always t so obvious, as civil servant receive monthly salary anyway or an office car need to be maintained anyhow. But for example </w:t>
      </w:r>
      <w:r w:rsidR="0040738C">
        <w:rPr>
          <w:lang w:val="en-GB"/>
        </w:rPr>
        <w:t>labour</w:t>
      </w:r>
      <w:r>
        <w:rPr>
          <w:lang w:val="en-GB"/>
        </w:rPr>
        <w:t xml:space="preserve"> market training has different elements of cost such as; </w:t>
      </w:r>
    </w:p>
    <w:p w:rsidR="00DF45E7" w:rsidRPr="00DF45E7" w:rsidRDefault="00DF45E7" w:rsidP="00B00AC9">
      <w:pPr>
        <w:jc w:val="both"/>
        <w:rPr>
          <w:b/>
          <w:lang w:val="en-GB"/>
        </w:rPr>
      </w:pPr>
      <w:r w:rsidRPr="00DF45E7">
        <w:rPr>
          <w:b/>
          <w:lang w:val="en-GB"/>
        </w:rPr>
        <w:t xml:space="preserve">cost of interventions </w:t>
      </w:r>
    </w:p>
    <w:p w:rsidR="00703946" w:rsidRDefault="004447E9" w:rsidP="00703946">
      <w:pPr>
        <w:pStyle w:val="ListParagraph"/>
        <w:numPr>
          <w:ilvl w:val="0"/>
          <w:numId w:val="5"/>
        </w:numPr>
        <w:jc w:val="both"/>
        <w:rPr>
          <w:lang w:val="en-GB"/>
        </w:rPr>
      </w:pPr>
      <w:r>
        <w:rPr>
          <w:lang w:val="en-GB"/>
        </w:rPr>
        <w:t>fi</w:t>
      </w:r>
      <w:r w:rsidR="00DF45E7">
        <w:rPr>
          <w:lang w:val="en-GB"/>
        </w:rPr>
        <w:t>r</w:t>
      </w:r>
      <w:r>
        <w:rPr>
          <w:lang w:val="en-GB"/>
        </w:rPr>
        <w:t xml:space="preserve">st of </w:t>
      </w:r>
      <w:proofErr w:type="gramStart"/>
      <w:r>
        <w:rPr>
          <w:lang w:val="en-GB"/>
        </w:rPr>
        <w:t>all</w:t>
      </w:r>
      <w:proofErr w:type="gramEnd"/>
      <w:r>
        <w:rPr>
          <w:lang w:val="en-GB"/>
        </w:rPr>
        <w:t xml:space="preserve"> the costs of the training. the training fee</w:t>
      </w:r>
    </w:p>
    <w:p w:rsidR="004447E9" w:rsidRDefault="004447E9" w:rsidP="00703946">
      <w:pPr>
        <w:pStyle w:val="ListParagraph"/>
        <w:numPr>
          <w:ilvl w:val="0"/>
          <w:numId w:val="5"/>
        </w:numPr>
        <w:jc w:val="both"/>
        <w:rPr>
          <w:lang w:val="en-GB"/>
        </w:rPr>
      </w:pPr>
      <w:r>
        <w:rPr>
          <w:lang w:val="en-GB"/>
        </w:rPr>
        <w:t xml:space="preserve">but also the mobility costs of the job-seekers, e.g. bus tickets, </w:t>
      </w:r>
    </w:p>
    <w:p w:rsidR="004447E9" w:rsidRDefault="004447E9" w:rsidP="00703946">
      <w:pPr>
        <w:pStyle w:val="ListParagraph"/>
        <w:numPr>
          <w:ilvl w:val="0"/>
          <w:numId w:val="5"/>
        </w:numPr>
        <w:jc w:val="both"/>
        <w:rPr>
          <w:lang w:val="en-GB"/>
        </w:rPr>
      </w:pPr>
      <w:r>
        <w:rPr>
          <w:lang w:val="en-GB"/>
        </w:rPr>
        <w:t xml:space="preserve">a daily subsistence the government may pay </w:t>
      </w:r>
    </w:p>
    <w:p w:rsidR="004447E9" w:rsidRDefault="004447E9" w:rsidP="00703946">
      <w:pPr>
        <w:pStyle w:val="ListParagraph"/>
        <w:numPr>
          <w:ilvl w:val="0"/>
          <w:numId w:val="5"/>
        </w:numPr>
        <w:jc w:val="both"/>
        <w:rPr>
          <w:lang w:val="en-GB"/>
        </w:rPr>
      </w:pPr>
      <w:r>
        <w:rPr>
          <w:lang w:val="en-GB"/>
        </w:rPr>
        <w:t xml:space="preserve">and the lost  income that he/she is not in employment if any is available </w:t>
      </w:r>
      <w:r w:rsidR="00DF45E7">
        <w:rPr>
          <w:lang w:val="en-GB"/>
        </w:rPr>
        <w:t xml:space="preserve">– The lost income is low or can be zero if no jobs available or the individual would work for the minimal wage </w:t>
      </w:r>
    </w:p>
    <w:p w:rsidR="00DF45E7" w:rsidRDefault="00DF45E7" w:rsidP="00DF45E7">
      <w:pPr>
        <w:jc w:val="both"/>
        <w:rPr>
          <w:b/>
          <w:lang w:val="en-GB"/>
        </w:rPr>
      </w:pPr>
      <w:r w:rsidRPr="00DF45E7">
        <w:rPr>
          <w:b/>
          <w:lang w:val="en-GB"/>
        </w:rPr>
        <w:t xml:space="preserve">benefit of interventions </w:t>
      </w:r>
    </w:p>
    <w:p w:rsidR="00DF45E7" w:rsidRDefault="00115404" w:rsidP="00DF45E7">
      <w:pPr>
        <w:pStyle w:val="ListParagraph"/>
        <w:numPr>
          <w:ilvl w:val="0"/>
          <w:numId w:val="6"/>
        </w:numPr>
        <w:jc w:val="both"/>
        <w:rPr>
          <w:lang w:val="en-GB"/>
        </w:rPr>
      </w:pPr>
      <w:r w:rsidRPr="00115404">
        <w:rPr>
          <w:lang w:val="en-GB"/>
        </w:rPr>
        <w:t xml:space="preserve">the </w:t>
      </w:r>
      <w:r>
        <w:rPr>
          <w:lang w:val="en-GB"/>
        </w:rPr>
        <w:t xml:space="preserve">real outcome the labour market intervention is if the individual is able to find a job afterwards and this job is at a higher wage level than was before </w:t>
      </w:r>
    </w:p>
    <w:p w:rsidR="00115404" w:rsidRDefault="00115404" w:rsidP="00DF45E7">
      <w:pPr>
        <w:pStyle w:val="ListParagraph"/>
        <w:numPr>
          <w:ilvl w:val="0"/>
          <w:numId w:val="6"/>
        </w:numPr>
        <w:jc w:val="both"/>
        <w:rPr>
          <w:lang w:val="en-GB"/>
        </w:rPr>
      </w:pPr>
      <w:r>
        <w:rPr>
          <w:lang w:val="en-GB"/>
        </w:rPr>
        <w:t xml:space="preserve">from the employers side the benefit is if the capacities can be 100% mobilized in a factory or in a shop, so they do not need to cancel shipments because of the lack of employees. </w:t>
      </w:r>
    </w:p>
    <w:p w:rsidR="00115404" w:rsidRDefault="00115404" w:rsidP="00DF45E7">
      <w:pPr>
        <w:pStyle w:val="ListParagraph"/>
        <w:numPr>
          <w:ilvl w:val="0"/>
          <w:numId w:val="6"/>
        </w:numPr>
        <w:jc w:val="both"/>
        <w:rPr>
          <w:lang w:val="en-GB"/>
        </w:rPr>
      </w:pPr>
      <w:r>
        <w:rPr>
          <w:lang w:val="en-GB"/>
        </w:rPr>
        <w:t xml:space="preserve">of course there are other personal, community and social benefits of the labour market intervention such as a more educated labour force or a better working community etc. but here we are only concentrating  on primary labour marker outcomes </w:t>
      </w:r>
    </w:p>
    <w:p w:rsidR="00115404" w:rsidRDefault="00115404" w:rsidP="00115404">
      <w:pPr>
        <w:pStyle w:val="ListParagraph"/>
        <w:jc w:val="both"/>
        <w:rPr>
          <w:lang w:val="en-GB"/>
        </w:rPr>
      </w:pPr>
    </w:p>
    <w:p w:rsidR="00115404" w:rsidRDefault="00115404" w:rsidP="00C73F59">
      <w:pPr>
        <w:pStyle w:val="ListParagraph"/>
        <w:ind w:left="0"/>
        <w:jc w:val="both"/>
        <w:rPr>
          <w:lang w:val="en-GB"/>
        </w:rPr>
      </w:pPr>
      <w:r>
        <w:rPr>
          <w:lang w:val="en-GB"/>
        </w:rPr>
        <w:t xml:space="preserve">From the perspective of a public employment service it would mean that we send people towards active labour market measure or services only if suitable jobs are not available in the market and more or less we can predict that based on the intervention the client will find employment or self-employment. </w:t>
      </w:r>
    </w:p>
    <w:p w:rsidR="00CD71FA" w:rsidRDefault="00CD71FA" w:rsidP="00CD71FA">
      <w:pPr>
        <w:pStyle w:val="Heading2"/>
        <w:rPr>
          <w:lang w:val="en-GB"/>
        </w:rPr>
      </w:pPr>
      <w:bookmarkStart w:id="11" w:name="_Toc532373499"/>
      <w:r>
        <w:rPr>
          <w:lang w:val="en-GB"/>
        </w:rPr>
        <w:t>LM services</w:t>
      </w:r>
      <w:bookmarkEnd w:id="11"/>
      <w:r>
        <w:rPr>
          <w:lang w:val="en-GB"/>
        </w:rPr>
        <w:t xml:space="preserve"> </w:t>
      </w:r>
    </w:p>
    <w:p w:rsidR="00627C98" w:rsidRDefault="00627C98" w:rsidP="00C73F59">
      <w:pPr>
        <w:jc w:val="both"/>
        <w:rPr>
          <w:lang w:val="en-GB"/>
        </w:rPr>
      </w:pPr>
    </w:p>
    <w:p w:rsidR="00C73F59" w:rsidRDefault="00C73F59" w:rsidP="00C73F59">
      <w:pPr>
        <w:jc w:val="both"/>
        <w:rPr>
          <w:lang w:val="en-GB"/>
        </w:rPr>
      </w:pPr>
      <w:r>
        <w:rPr>
          <w:lang w:val="en-GB"/>
        </w:rPr>
        <w:t>With the labour market interventions we make distinctions between labour mar</w:t>
      </w:r>
      <w:r w:rsidR="00627C98">
        <w:rPr>
          <w:lang w:val="en-GB"/>
        </w:rPr>
        <w:t xml:space="preserve">ket service and active measures. </w:t>
      </w:r>
      <w:r w:rsidR="00627C98" w:rsidRPr="00627C98">
        <w:rPr>
          <w:b/>
          <w:lang w:val="en-GB"/>
        </w:rPr>
        <w:t xml:space="preserve">Services </w:t>
      </w:r>
      <w:r w:rsidR="00627C98" w:rsidRPr="00627C98">
        <w:rPr>
          <w:lang w:val="en-GB"/>
        </w:rPr>
        <w:t>refer to labour market interventions where the main activity of participants is job-search related and where participation usually does not result in a</w:t>
      </w:r>
      <w:r w:rsidR="00627C98">
        <w:rPr>
          <w:lang w:val="en-GB"/>
        </w:rPr>
        <w:t xml:space="preserve"> change of labour market status (Eurostat, 2018). </w:t>
      </w:r>
    </w:p>
    <w:p w:rsidR="00CD71FA" w:rsidRDefault="00627C98" w:rsidP="00CD71FA">
      <w:pPr>
        <w:pStyle w:val="Heading2"/>
        <w:rPr>
          <w:lang w:val="en-GB"/>
        </w:rPr>
      </w:pPr>
      <w:bookmarkStart w:id="12" w:name="_Toc532373500"/>
      <w:r>
        <w:rPr>
          <w:lang w:val="en-GB"/>
        </w:rPr>
        <w:t>ALMM</w:t>
      </w:r>
      <w:r w:rsidR="008C16A9">
        <w:rPr>
          <w:lang w:val="en-GB"/>
        </w:rPr>
        <w:t>: Active Labour Market Measures</w:t>
      </w:r>
      <w:bookmarkEnd w:id="12"/>
      <w:r w:rsidR="008C16A9">
        <w:rPr>
          <w:lang w:val="en-GB"/>
        </w:rPr>
        <w:t xml:space="preserve"> </w:t>
      </w:r>
    </w:p>
    <w:p w:rsidR="00627C98" w:rsidRDefault="00627C98" w:rsidP="00627C98">
      <w:pPr>
        <w:rPr>
          <w:lang w:val="en-GB"/>
        </w:rPr>
      </w:pPr>
    </w:p>
    <w:p w:rsidR="00627C98" w:rsidRDefault="00627C98" w:rsidP="00627C98">
      <w:pPr>
        <w:jc w:val="both"/>
        <w:rPr>
          <w:lang w:val="en-GB"/>
        </w:rPr>
      </w:pPr>
      <w:r w:rsidRPr="00627C98">
        <w:rPr>
          <w:lang w:val="en-GB"/>
        </w:rPr>
        <w:t>Measures refer to labour market interventions where the main activity of participants is other than job-search related and where participation usually results in a</w:t>
      </w:r>
      <w:r>
        <w:rPr>
          <w:lang w:val="en-GB"/>
        </w:rPr>
        <w:t xml:space="preserve"> change in labour market status </w:t>
      </w:r>
      <w:r>
        <w:rPr>
          <w:lang w:val="en-GB"/>
        </w:rPr>
        <w:lastRenderedPageBreak/>
        <w:t xml:space="preserve">(Eurostat, 2018). In short the outcome of the ALMM is that unemployed become employed or become the trainee of a company (such as apprenticeship). </w:t>
      </w:r>
    </w:p>
    <w:p w:rsidR="00AB1BD8" w:rsidRDefault="00AB1BD8" w:rsidP="00627C98">
      <w:pPr>
        <w:jc w:val="both"/>
        <w:rPr>
          <w:lang w:val="en-GB"/>
        </w:rPr>
      </w:pPr>
      <w:r>
        <w:rPr>
          <w:lang w:val="en-GB"/>
        </w:rPr>
        <w:t xml:space="preserve">The third category of the costs at the government’s side is come from the support. </w:t>
      </w:r>
      <w:r w:rsidRPr="00AB1BD8">
        <w:rPr>
          <w:b/>
          <w:lang w:val="en-GB"/>
        </w:rPr>
        <w:t>Supports</w:t>
      </w:r>
      <w:r w:rsidRPr="00AB1BD8">
        <w:rPr>
          <w:lang w:val="en-GB"/>
        </w:rPr>
        <w:t xml:space="preserve"> refer to interventions that provide financial assistance, directly or indirectly, to individuals for labour market reasons or which compensate individuals for disadvantage caused by labour market circumstance.</w:t>
      </w:r>
    </w:p>
    <w:p w:rsidR="0032331B" w:rsidRDefault="0032331B" w:rsidP="00627C98">
      <w:pPr>
        <w:jc w:val="both"/>
        <w:rPr>
          <w:lang w:val="en-GB"/>
        </w:rPr>
      </w:pPr>
      <w:r>
        <w:rPr>
          <w:lang w:val="en-GB"/>
        </w:rPr>
        <w:t xml:space="preserve">Labour market measures can be classified based on the Eurostat (2018) categories </w:t>
      </w:r>
      <w:r w:rsidR="00ED506E">
        <w:rPr>
          <w:lang w:val="en-GB"/>
        </w:rPr>
        <w:t xml:space="preserve">as the following; </w:t>
      </w:r>
    </w:p>
    <w:p w:rsidR="0032331B" w:rsidRPr="000B60B7" w:rsidRDefault="0032331B" w:rsidP="00627C98">
      <w:pPr>
        <w:jc w:val="both"/>
        <w:rPr>
          <w:b/>
          <w:u w:val="single"/>
          <w:lang w:val="en-GB"/>
        </w:rPr>
      </w:pPr>
      <w:r w:rsidRPr="000B60B7">
        <w:rPr>
          <w:b/>
          <w:u w:val="single"/>
          <w:lang w:val="en-GB"/>
        </w:rPr>
        <w:t>LMP services</w:t>
      </w:r>
    </w:p>
    <w:p w:rsidR="0032331B" w:rsidRDefault="0032331B" w:rsidP="0032331B">
      <w:pPr>
        <w:jc w:val="both"/>
        <w:rPr>
          <w:lang w:val="en-GB"/>
        </w:rPr>
      </w:pPr>
      <w:r w:rsidRPr="0032331B">
        <w:rPr>
          <w:lang w:val="en-GB"/>
        </w:rPr>
        <w:t xml:space="preserve">Labour market services </w:t>
      </w:r>
    </w:p>
    <w:p w:rsidR="0032331B" w:rsidRPr="000B60B7" w:rsidRDefault="0032331B" w:rsidP="0032331B">
      <w:pPr>
        <w:jc w:val="both"/>
        <w:rPr>
          <w:b/>
          <w:u w:val="single"/>
          <w:lang w:val="en-GB"/>
        </w:rPr>
      </w:pPr>
      <w:r w:rsidRPr="000B60B7">
        <w:rPr>
          <w:b/>
          <w:u w:val="single"/>
          <w:lang w:val="en-GB"/>
        </w:rPr>
        <w:t xml:space="preserve">LMP measures </w:t>
      </w:r>
    </w:p>
    <w:p w:rsidR="0032331B" w:rsidRDefault="0032331B" w:rsidP="0032331B">
      <w:pPr>
        <w:jc w:val="both"/>
        <w:rPr>
          <w:lang w:val="en-GB"/>
        </w:rPr>
      </w:pPr>
      <w:r>
        <w:rPr>
          <w:lang w:val="en-GB"/>
        </w:rPr>
        <w:t xml:space="preserve">Training </w:t>
      </w:r>
    </w:p>
    <w:p w:rsidR="0032331B" w:rsidRDefault="0032331B" w:rsidP="0032331B">
      <w:pPr>
        <w:jc w:val="both"/>
        <w:rPr>
          <w:lang w:val="en-GB"/>
        </w:rPr>
      </w:pPr>
      <w:r w:rsidRPr="0032331B">
        <w:rPr>
          <w:lang w:val="en-GB"/>
        </w:rPr>
        <w:t xml:space="preserve"> Employment incentives </w:t>
      </w:r>
    </w:p>
    <w:p w:rsidR="0032331B" w:rsidRDefault="0032331B" w:rsidP="0032331B">
      <w:pPr>
        <w:jc w:val="both"/>
        <w:rPr>
          <w:lang w:val="en-GB"/>
        </w:rPr>
      </w:pPr>
      <w:r w:rsidRPr="0032331B">
        <w:rPr>
          <w:lang w:val="en-GB"/>
        </w:rPr>
        <w:t xml:space="preserve"> Sheltered and supported employment and rehabilitation </w:t>
      </w:r>
    </w:p>
    <w:p w:rsidR="0032331B" w:rsidRDefault="0032331B" w:rsidP="0032331B">
      <w:pPr>
        <w:jc w:val="both"/>
        <w:rPr>
          <w:lang w:val="en-GB"/>
        </w:rPr>
      </w:pPr>
      <w:r w:rsidRPr="0032331B">
        <w:rPr>
          <w:lang w:val="en-GB"/>
        </w:rPr>
        <w:t xml:space="preserve"> Direct job creation </w:t>
      </w:r>
    </w:p>
    <w:p w:rsidR="0032331B" w:rsidRPr="0032331B" w:rsidRDefault="0032331B" w:rsidP="0032331B">
      <w:pPr>
        <w:jc w:val="both"/>
        <w:rPr>
          <w:lang w:val="en-GB"/>
        </w:rPr>
      </w:pPr>
      <w:r w:rsidRPr="0032331B">
        <w:rPr>
          <w:lang w:val="en-GB"/>
        </w:rPr>
        <w:t xml:space="preserve">Start-up incentives </w:t>
      </w:r>
    </w:p>
    <w:p w:rsidR="0032331B" w:rsidRPr="000B60B7" w:rsidRDefault="0032331B" w:rsidP="0032331B">
      <w:pPr>
        <w:jc w:val="both"/>
        <w:rPr>
          <w:b/>
          <w:u w:val="single"/>
          <w:lang w:val="en-GB"/>
        </w:rPr>
      </w:pPr>
      <w:r w:rsidRPr="000B60B7">
        <w:rPr>
          <w:b/>
          <w:u w:val="single"/>
          <w:lang w:val="en-GB"/>
        </w:rPr>
        <w:t xml:space="preserve">LMP supports </w:t>
      </w:r>
    </w:p>
    <w:p w:rsidR="0032331B" w:rsidRDefault="0032331B" w:rsidP="0032331B">
      <w:pPr>
        <w:jc w:val="both"/>
        <w:rPr>
          <w:lang w:val="en-GB"/>
        </w:rPr>
      </w:pPr>
      <w:r w:rsidRPr="0032331B">
        <w:rPr>
          <w:lang w:val="en-GB"/>
        </w:rPr>
        <w:t xml:space="preserve">Out-of-work income maintenance and support </w:t>
      </w:r>
    </w:p>
    <w:p w:rsidR="0032331B" w:rsidRDefault="0032331B" w:rsidP="0032331B">
      <w:pPr>
        <w:jc w:val="both"/>
        <w:rPr>
          <w:lang w:val="en-GB"/>
        </w:rPr>
      </w:pPr>
      <w:r w:rsidRPr="0032331B">
        <w:rPr>
          <w:lang w:val="en-GB"/>
        </w:rPr>
        <w:t xml:space="preserve">Early retirement  </w:t>
      </w:r>
    </w:p>
    <w:p w:rsidR="007B5D07" w:rsidRDefault="00CD71FA" w:rsidP="00CD71FA">
      <w:pPr>
        <w:pStyle w:val="Heading2"/>
        <w:rPr>
          <w:lang w:val="en-GB"/>
        </w:rPr>
      </w:pPr>
      <w:bookmarkStart w:id="13" w:name="_Toc532373501"/>
      <w:r>
        <w:rPr>
          <w:lang w:val="en-GB"/>
        </w:rPr>
        <w:t xml:space="preserve">Suggestions </w:t>
      </w:r>
      <w:r w:rsidR="008C16A9">
        <w:rPr>
          <w:lang w:val="en-GB"/>
        </w:rPr>
        <w:t>for the NAF</w:t>
      </w:r>
      <w:bookmarkEnd w:id="13"/>
    </w:p>
    <w:p w:rsidR="00AD3133" w:rsidRDefault="00AD3133" w:rsidP="00C62343">
      <w:pPr>
        <w:jc w:val="both"/>
        <w:rPr>
          <w:lang w:val="en-GB"/>
        </w:rPr>
      </w:pPr>
    </w:p>
    <w:p w:rsidR="00ED61CC" w:rsidRDefault="0017610F" w:rsidP="00C62343">
      <w:pPr>
        <w:jc w:val="both"/>
        <w:rPr>
          <w:lang w:val="en-GB"/>
        </w:rPr>
      </w:pPr>
      <w:r>
        <w:rPr>
          <w:lang w:val="en-GB"/>
        </w:rPr>
        <w:t>Based on the Eurostat catalogue we suggest a mapping exercise at the level of the local offices to develop an</w:t>
      </w:r>
      <w:r w:rsidR="007B5D07">
        <w:rPr>
          <w:lang w:val="en-GB"/>
        </w:rPr>
        <w:t xml:space="preserve"> ALMM </w:t>
      </w:r>
      <w:r w:rsidR="002D61FD">
        <w:rPr>
          <w:lang w:val="en-GB"/>
        </w:rPr>
        <w:t xml:space="preserve">&amp; LM services </w:t>
      </w:r>
      <w:r w:rsidR="007B5D07">
        <w:rPr>
          <w:lang w:val="en-GB"/>
        </w:rPr>
        <w:t>catalogue for the branch offices a</w:t>
      </w:r>
      <w:r>
        <w:rPr>
          <w:lang w:val="en-GB"/>
        </w:rPr>
        <w:t>nd update it at a regular base</w:t>
      </w:r>
      <w:r w:rsidR="00C62343">
        <w:rPr>
          <w:lang w:val="en-GB"/>
        </w:rPr>
        <w:t xml:space="preserve"> even after the close of the TA project. </w:t>
      </w:r>
      <w:r>
        <w:rPr>
          <w:lang w:val="en-GB"/>
        </w:rPr>
        <w:t xml:space="preserve"> </w:t>
      </w:r>
      <w:r w:rsidR="002D61FD">
        <w:rPr>
          <w:lang w:val="en-GB"/>
        </w:rPr>
        <w:t xml:space="preserve">It would require a detailed mapping analysis at the level of the NAF branch offices as well as in the employment district offices. For the social workers of the NAF or the case managers of the employment offices, including the ILO branches only a concrete and detailed, updated list of providers/ programmes is useful. They cannot work with </w:t>
      </w:r>
      <w:r w:rsidR="00AD3133">
        <w:rPr>
          <w:lang w:val="en-GB"/>
        </w:rPr>
        <w:t>a general donor mapping outcome</w:t>
      </w:r>
      <w:r w:rsidR="006949D1">
        <w:rPr>
          <w:lang w:val="en-GB"/>
        </w:rPr>
        <w:t xml:space="preserve"> when referring their clients towards labour market services and active measures. </w:t>
      </w:r>
      <w:r w:rsidR="00AD3133">
        <w:rPr>
          <w:lang w:val="en-GB"/>
        </w:rPr>
        <w:t xml:space="preserve"> </w:t>
      </w:r>
    </w:p>
    <w:p w:rsidR="00ED61CC" w:rsidRDefault="00ED61CC">
      <w:pPr>
        <w:rPr>
          <w:lang w:val="en-GB"/>
        </w:rPr>
      </w:pPr>
      <w:r>
        <w:rPr>
          <w:lang w:val="en-GB"/>
        </w:rPr>
        <w:br w:type="page"/>
      </w:r>
    </w:p>
    <w:p w:rsidR="00DB1D0E" w:rsidRDefault="00DB1D0E" w:rsidP="002D61FD">
      <w:pPr>
        <w:jc w:val="center"/>
        <w:rPr>
          <w:b/>
          <w:lang w:val="en-GB"/>
        </w:rPr>
      </w:pPr>
      <w:r w:rsidRPr="00DB1D0E">
        <w:rPr>
          <w:b/>
          <w:lang w:val="en-GB"/>
        </w:rPr>
        <w:lastRenderedPageBreak/>
        <w:t>Proposed structure for the NAF LM services and ALMM Catalogue</w:t>
      </w:r>
    </w:p>
    <w:p w:rsidR="008B3B93" w:rsidRPr="008B3B93" w:rsidRDefault="008B3B93" w:rsidP="002D61FD">
      <w:pPr>
        <w:jc w:val="center"/>
        <w:rPr>
          <w:lang w:val="en-GB"/>
        </w:rPr>
      </w:pPr>
      <w:r w:rsidRPr="008B3B93">
        <w:rPr>
          <w:lang w:val="en-GB"/>
        </w:rPr>
        <w:t>(during the first pilot period for Al-</w:t>
      </w:r>
      <w:proofErr w:type="spellStart"/>
      <w:r w:rsidRPr="008B3B93">
        <w:rPr>
          <w:lang w:val="en-GB"/>
        </w:rPr>
        <w:t>Zarqa</w:t>
      </w:r>
      <w:proofErr w:type="spellEnd"/>
      <w:r w:rsidRPr="008B3B93">
        <w:rPr>
          <w:lang w:val="en-GB"/>
        </w:rPr>
        <w:t>, East-Amman and Irbid)</w:t>
      </w:r>
    </w:p>
    <w:tbl>
      <w:tblPr>
        <w:tblStyle w:val="TableGrid"/>
        <w:tblW w:w="0" w:type="auto"/>
        <w:tblLook w:val="04A0" w:firstRow="1" w:lastRow="0" w:firstColumn="1" w:lastColumn="0" w:noHBand="0" w:noVBand="1"/>
      </w:tblPr>
      <w:tblGrid>
        <w:gridCol w:w="1842"/>
        <w:gridCol w:w="1842"/>
        <w:gridCol w:w="1842"/>
        <w:gridCol w:w="1843"/>
        <w:gridCol w:w="1843"/>
      </w:tblGrid>
      <w:tr w:rsidR="00144CCC" w:rsidRPr="004C49CF" w:rsidTr="00E9069A">
        <w:tc>
          <w:tcPr>
            <w:tcW w:w="1842" w:type="dxa"/>
            <w:tcBorders>
              <w:bottom w:val="single" w:sz="4" w:space="0" w:color="auto"/>
            </w:tcBorders>
          </w:tcPr>
          <w:p w:rsidR="00DB1D0E" w:rsidRPr="004C49CF" w:rsidRDefault="006F10F7" w:rsidP="004C49CF">
            <w:pPr>
              <w:jc w:val="center"/>
              <w:rPr>
                <w:b/>
                <w:lang w:val="en-GB"/>
              </w:rPr>
            </w:pPr>
            <w:r w:rsidRPr="00DB1D0E">
              <w:rPr>
                <w:b/>
                <w:lang w:val="en-GB"/>
              </w:rPr>
              <w:br w:type="page"/>
            </w:r>
            <w:r w:rsidR="00DB1D0E" w:rsidRPr="004C49CF">
              <w:rPr>
                <w:b/>
                <w:lang w:val="en-GB"/>
              </w:rPr>
              <w:t>type</w:t>
            </w:r>
            <w:r w:rsidR="00467702">
              <w:rPr>
                <w:b/>
                <w:lang w:val="en-GB"/>
              </w:rPr>
              <w:t xml:space="preserve"> of services/ measure</w:t>
            </w:r>
          </w:p>
        </w:tc>
        <w:tc>
          <w:tcPr>
            <w:tcW w:w="1842" w:type="dxa"/>
            <w:tcBorders>
              <w:bottom w:val="single" w:sz="4" w:space="0" w:color="auto"/>
            </w:tcBorders>
          </w:tcPr>
          <w:p w:rsidR="00DB1D0E" w:rsidRPr="004C49CF" w:rsidRDefault="00DB1D0E" w:rsidP="004C49CF">
            <w:pPr>
              <w:jc w:val="center"/>
              <w:rPr>
                <w:b/>
                <w:lang w:val="en-GB"/>
              </w:rPr>
            </w:pPr>
            <w:r w:rsidRPr="004C49CF">
              <w:rPr>
                <w:b/>
                <w:lang w:val="en-GB"/>
              </w:rPr>
              <w:t>provider (branch office level)</w:t>
            </w:r>
          </w:p>
        </w:tc>
        <w:tc>
          <w:tcPr>
            <w:tcW w:w="1842" w:type="dxa"/>
            <w:tcBorders>
              <w:bottom w:val="single" w:sz="4" w:space="0" w:color="auto"/>
            </w:tcBorders>
          </w:tcPr>
          <w:p w:rsidR="00DB1D0E" w:rsidRPr="004C49CF" w:rsidRDefault="00DB1D0E" w:rsidP="004C49CF">
            <w:pPr>
              <w:jc w:val="center"/>
              <w:rPr>
                <w:b/>
                <w:lang w:val="en-GB"/>
              </w:rPr>
            </w:pPr>
            <w:r w:rsidRPr="004C49CF">
              <w:rPr>
                <w:b/>
                <w:lang w:val="en-GB"/>
              </w:rPr>
              <w:t>contact number (branch office level)</w:t>
            </w:r>
            <w:r w:rsidR="00467702">
              <w:rPr>
                <w:b/>
                <w:lang w:val="en-GB"/>
              </w:rPr>
              <w:t xml:space="preserve"> e-mail/ website/ FB page</w:t>
            </w:r>
          </w:p>
        </w:tc>
        <w:tc>
          <w:tcPr>
            <w:tcW w:w="1843" w:type="dxa"/>
            <w:tcBorders>
              <w:bottom w:val="single" w:sz="4" w:space="0" w:color="auto"/>
            </w:tcBorders>
          </w:tcPr>
          <w:p w:rsidR="00DB1D0E" w:rsidRPr="004C49CF" w:rsidRDefault="00DB1D0E" w:rsidP="004C49CF">
            <w:pPr>
              <w:jc w:val="center"/>
              <w:rPr>
                <w:b/>
                <w:lang w:val="en-GB"/>
              </w:rPr>
            </w:pPr>
            <w:r w:rsidRPr="004C49CF">
              <w:rPr>
                <w:b/>
                <w:lang w:val="en-GB"/>
              </w:rPr>
              <w:t>location</w:t>
            </w:r>
            <w:r w:rsidR="006059D6">
              <w:rPr>
                <w:b/>
                <w:lang w:val="en-GB"/>
              </w:rPr>
              <w:t xml:space="preserve"> in the city/ governorate</w:t>
            </w:r>
            <w:r w:rsidRPr="004C49CF">
              <w:rPr>
                <w:b/>
                <w:lang w:val="en-GB"/>
              </w:rPr>
              <w:t xml:space="preserve"> (branch office level)</w:t>
            </w:r>
          </w:p>
        </w:tc>
        <w:tc>
          <w:tcPr>
            <w:tcW w:w="1843" w:type="dxa"/>
            <w:tcBorders>
              <w:bottom w:val="single" w:sz="4" w:space="0" w:color="auto"/>
            </w:tcBorders>
          </w:tcPr>
          <w:p w:rsidR="00DB1D0E" w:rsidRPr="004C49CF" w:rsidRDefault="00DB1D0E" w:rsidP="004C49CF">
            <w:pPr>
              <w:jc w:val="center"/>
              <w:rPr>
                <w:b/>
                <w:lang w:val="en-GB"/>
              </w:rPr>
            </w:pPr>
            <w:r w:rsidRPr="004C49CF">
              <w:rPr>
                <w:b/>
                <w:lang w:val="en-GB"/>
              </w:rPr>
              <w:t>capacity/ planned activities for 2019</w:t>
            </w:r>
          </w:p>
        </w:tc>
      </w:tr>
      <w:tr w:rsidR="00144CCC" w:rsidRPr="00E9069A" w:rsidTr="00E9069A">
        <w:tc>
          <w:tcPr>
            <w:tcW w:w="1842" w:type="dxa"/>
            <w:shd w:val="pct35" w:color="auto" w:fill="auto"/>
          </w:tcPr>
          <w:p w:rsidR="00DB1D0E" w:rsidRPr="00467702" w:rsidRDefault="00DB1D0E" w:rsidP="00BC373E">
            <w:pPr>
              <w:jc w:val="both"/>
              <w:rPr>
                <w:b/>
                <w:lang w:val="en-GB"/>
              </w:rPr>
            </w:pPr>
            <w:r w:rsidRPr="00467702">
              <w:rPr>
                <w:b/>
                <w:lang w:val="en-GB"/>
              </w:rPr>
              <w:t>LM service</w:t>
            </w:r>
          </w:p>
        </w:tc>
        <w:tc>
          <w:tcPr>
            <w:tcW w:w="1842" w:type="dxa"/>
            <w:shd w:val="pct35" w:color="auto" w:fill="auto"/>
          </w:tcPr>
          <w:p w:rsidR="00DB1D0E" w:rsidRPr="00E9069A" w:rsidRDefault="00DB1D0E" w:rsidP="00BC373E">
            <w:pPr>
              <w:jc w:val="both"/>
              <w:rPr>
                <w:b/>
                <w:lang w:val="en-GB"/>
              </w:rPr>
            </w:pPr>
          </w:p>
        </w:tc>
        <w:tc>
          <w:tcPr>
            <w:tcW w:w="1842" w:type="dxa"/>
            <w:shd w:val="pct35" w:color="auto" w:fill="auto"/>
          </w:tcPr>
          <w:p w:rsidR="00DB1D0E" w:rsidRPr="00E9069A" w:rsidRDefault="00DB1D0E" w:rsidP="00BC373E">
            <w:pPr>
              <w:jc w:val="both"/>
              <w:rPr>
                <w:b/>
                <w:lang w:val="en-GB"/>
              </w:rPr>
            </w:pPr>
          </w:p>
        </w:tc>
        <w:tc>
          <w:tcPr>
            <w:tcW w:w="1843" w:type="dxa"/>
            <w:shd w:val="pct35" w:color="auto" w:fill="auto"/>
          </w:tcPr>
          <w:p w:rsidR="00DB1D0E" w:rsidRPr="00E9069A" w:rsidRDefault="00DB1D0E" w:rsidP="00BC373E">
            <w:pPr>
              <w:jc w:val="both"/>
              <w:rPr>
                <w:b/>
                <w:lang w:val="en-GB"/>
              </w:rPr>
            </w:pPr>
          </w:p>
        </w:tc>
        <w:tc>
          <w:tcPr>
            <w:tcW w:w="1843" w:type="dxa"/>
            <w:shd w:val="pct35" w:color="auto" w:fill="auto"/>
          </w:tcPr>
          <w:p w:rsidR="00DB1D0E" w:rsidRPr="00E9069A" w:rsidRDefault="00DB1D0E" w:rsidP="00BC373E">
            <w:pPr>
              <w:jc w:val="both"/>
              <w:rPr>
                <w:b/>
                <w:lang w:val="en-GB"/>
              </w:rPr>
            </w:pPr>
          </w:p>
        </w:tc>
      </w:tr>
      <w:tr w:rsidR="00144CCC" w:rsidTr="00BC373E">
        <w:tc>
          <w:tcPr>
            <w:tcW w:w="1842" w:type="dxa"/>
          </w:tcPr>
          <w:p w:rsidR="00DB1D0E" w:rsidRDefault="00467702" w:rsidP="00BC373E">
            <w:pPr>
              <w:jc w:val="both"/>
              <w:rPr>
                <w:lang w:val="en-GB"/>
              </w:rPr>
            </w:pPr>
            <w:r>
              <w:rPr>
                <w:lang w:val="en-GB"/>
              </w:rPr>
              <w:t xml:space="preserve">placement </w:t>
            </w:r>
          </w:p>
        </w:tc>
        <w:tc>
          <w:tcPr>
            <w:tcW w:w="1842" w:type="dxa"/>
          </w:tcPr>
          <w:p w:rsidR="00DB1D0E" w:rsidRDefault="00DB1D0E" w:rsidP="00BC373E">
            <w:pPr>
              <w:jc w:val="both"/>
              <w:rPr>
                <w:lang w:val="en-GB"/>
              </w:rPr>
            </w:pPr>
          </w:p>
        </w:tc>
        <w:tc>
          <w:tcPr>
            <w:tcW w:w="1842" w:type="dxa"/>
          </w:tcPr>
          <w:p w:rsidR="00DB1D0E" w:rsidRDefault="00DB1D0E" w:rsidP="00BC373E">
            <w:pPr>
              <w:jc w:val="both"/>
              <w:rPr>
                <w:lang w:val="en-GB"/>
              </w:rPr>
            </w:pPr>
          </w:p>
        </w:tc>
        <w:tc>
          <w:tcPr>
            <w:tcW w:w="1843" w:type="dxa"/>
          </w:tcPr>
          <w:p w:rsidR="00DB1D0E" w:rsidRDefault="00DB1D0E" w:rsidP="00BC373E">
            <w:pPr>
              <w:jc w:val="both"/>
              <w:rPr>
                <w:lang w:val="en-GB"/>
              </w:rPr>
            </w:pPr>
          </w:p>
        </w:tc>
        <w:tc>
          <w:tcPr>
            <w:tcW w:w="1843" w:type="dxa"/>
          </w:tcPr>
          <w:p w:rsidR="00DB1D0E" w:rsidRDefault="00DB1D0E" w:rsidP="00BC373E">
            <w:pPr>
              <w:jc w:val="both"/>
              <w:rPr>
                <w:lang w:val="en-GB"/>
              </w:rPr>
            </w:pPr>
          </w:p>
        </w:tc>
      </w:tr>
      <w:tr w:rsidR="00144CCC" w:rsidTr="00E9069A">
        <w:tc>
          <w:tcPr>
            <w:tcW w:w="1842" w:type="dxa"/>
            <w:tcBorders>
              <w:bottom w:val="single" w:sz="4" w:space="0" w:color="auto"/>
            </w:tcBorders>
          </w:tcPr>
          <w:p w:rsidR="00DB1D0E" w:rsidRDefault="00467702" w:rsidP="00BC373E">
            <w:pPr>
              <w:jc w:val="both"/>
              <w:rPr>
                <w:lang w:val="en-GB"/>
              </w:rPr>
            </w:pPr>
            <w:r>
              <w:rPr>
                <w:lang w:val="en-GB"/>
              </w:rPr>
              <w:t xml:space="preserve">career guidance </w:t>
            </w:r>
          </w:p>
        </w:tc>
        <w:tc>
          <w:tcPr>
            <w:tcW w:w="1842" w:type="dxa"/>
            <w:tcBorders>
              <w:bottom w:val="single" w:sz="4" w:space="0" w:color="auto"/>
            </w:tcBorders>
          </w:tcPr>
          <w:p w:rsidR="00DB1D0E" w:rsidRDefault="00DB1D0E" w:rsidP="00BC373E">
            <w:pPr>
              <w:jc w:val="both"/>
              <w:rPr>
                <w:lang w:val="en-GB"/>
              </w:rPr>
            </w:pPr>
          </w:p>
        </w:tc>
        <w:tc>
          <w:tcPr>
            <w:tcW w:w="1842" w:type="dxa"/>
            <w:tcBorders>
              <w:bottom w:val="single" w:sz="4" w:space="0" w:color="auto"/>
            </w:tcBorders>
          </w:tcPr>
          <w:p w:rsidR="00DB1D0E" w:rsidRDefault="00DB1D0E" w:rsidP="00BC373E">
            <w:pPr>
              <w:jc w:val="both"/>
              <w:rPr>
                <w:lang w:val="en-GB"/>
              </w:rPr>
            </w:pPr>
          </w:p>
        </w:tc>
        <w:tc>
          <w:tcPr>
            <w:tcW w:w="1843" w:type="dxa"/>
            <w:tcBorders>
              <w:bottom w:val="single" w:sz="4" w:space="0" w:color="auto"/>
            </w:tcBorders>
          </w:tcPr>
          <w:p w:rsidR="00DB1D0E" w:rsidRDefault="00DB1D0E" w:rsidP="00BC373E">
            <w:pPr>
              <w:jc w:val="both"/>
              <w:rPr>
                <w:lang w:val="en-GB"/>
              </w:rPr>
            </w:pPr>
          </w:p>
        </w:tc>
        <w:tc>
          <w:tcPr>
            <w:tcW w:w="1843" w:type="dxa"/>
            <w:tcBorders>
              <w:bottom w:val="single" w:sz="4" w:space="0" w:color="auto"/>
            </w:tcBorders>
          </w:tcPr>
          <w:p w:rsidR="00DB1D0E" w:rsidRDefault="00DB1D0E" w:rsidP="00BC373E">
            <w:pPr>
              <w:jc w:val="both"/>
              <w:rPr>
                <w:lang w:val="en-GB"/>
              </w:rPr>
            </w:pPr>
          </w:p>
        </w:tc>
      </w:tr>
      <w:tr w:rsidR="00144CCC" w:rsidTr="00E9069A">
        <w:tc>
          <w:tcPr>
            <w:tcW w:w="1842" w:type="dxa"/>
            <w:shd w:val="pct35" w:color="auto" w:fill="auto"/>
          </w:tcPr>
          <w:p w:rsidR="00467702" w:rsidRPr="00393BE3" w:rsidRDefault="00393BE3" w:rsidP="00BC373E">
            <w:pPr>
              <w:jc w:val="both"/>
              <w:rPr>
                <w:b/>
                <w:lang w:val="en-GB"/>
              </w:rPr>
            </w:pPr>
            <w:r w:rsidRPr="00393BE3">
              <w:rPr>
                <w:b/>
                <w:lang w:val="en-GB"/>
              </w:rPr>
              <w:t>ALMM</w:t>
            </w:r>
          </w:p>
        </w:tc>
        <w:tc>
          <w:tcPr>
            <w:tcW w:w="1842" w:type="dxa"/>
            <w:shd w:val="pct35" w:color="auto" w:fill="auto"/>
          </w:tcPr>
          <w:p w:rsidR="00467702" w:rsidRDefault="00467702" w:rsidP="00BC373E">
            <w:pPr>
              <w:jc w:val="both"/>
              <w:rPr>
                <w:lang w:val="en-GB"/>
              </w:rPr>
            </w:pPr>
          </w:p>
        </w:tc>
        <w:tc>
          <w:tcPr>
            <w:tcW w:w="1842" w:type="dxa"/>
            <w:shd w:val="pct35" w:color="auto" w:fill="auto"/>
          </w:tcPr>
          <w:p w:rsidR="00467702" w:rsidRDefault="00467702" w:rsidP="00BC373E">
            <w:pPr>
              <w:jc w:val="both"/>
              <w:rPr>
                <w:lang w:val="en-GB"/>
              </w:rPr>
            </w:pPr>
          </w:p>
        </w:tc>
        <w:tc>
          <w:tcPr>
            <w:tcW w:w="1843" w:type="dxa"/>
            <w:shd w:val="pct35" w:color="auto" w:fill="auto"/>
          </w:tcPr>
          <w:p w:rsidR="00467702" w:rsidRDefault="00467702" w:rsidP="00BC373E">
            <w:pPr>
              <w:jc w:val="both"/>
              <w:rPr>
                <w:lang w:val="en-GB"/>
              </w:rPr>
            </w:pPr>
          </w:p>
        </w:tc>
        <w:tc>
          <w:tcPr>
            <w:tcW w:w="1843" w:type="dxa"/>
            <w:shd w:val="pct35" w:color="auto" w:fill="auto"/>
          </w:tcPr>
          <w:p w:rsidR="00467702" w:rsidRDefault="00467702" w:rsidP="00BC373E">
            <w:pPr>
              <w:jc w:val="both"/>
              <w:rPr>
                <w:lang w:val="en-GB"/>
              </w:rPr>
            </w:pPr>
          </w:p>
        </w:tc>
      </w:tr>
      <w:tr w:rsidR="00393BE3" w:rsidRPr="00393BE3" w:rsidTr="00BC373E">
        <w:tc>
          <w:tcPr>
            <w:tcW w:w="1842" w:type="dxa"/>
          </w:tcPr>
          <w:p w:rsidR="00393BE3" w:rsidRPr="00393BE3" w:rsidRDefault="00393BE3" w:rsidP="00BC373E">
            <w:pPr>
              <w:jc w:val="both"/>
              <w:rPr>
                <w:lang w:val="en-GB"/>
              </w:rPr>
            </w:pPr>
            <w:r w:rsidRPr="00393BE3">
              <w:rPr>
                <w:lang w:val="en-GB"/>
              </w:rPr>
              <w:t xml:space="preserve">institutional training </w:t>
            </w:r>
          </w:p>
        </w:tc>
        <w:tc>
          <w:tcPr>
            <w:tcW w:w="1842" w:type="dxa"/>
          </w:tcPr>
          <w:p w:rsidR="00393BE3" w:rsidRPr="00393BE3" w:rsidRDefault="00393BE3" w:rsidP="00BC373E">
            <w:pPr>
              <w:jc w:val="both"/>
              <w:rPr>
                <w:lang w:val="en-GB"/>
              </w:rPr>
            </w:pPr>
          </w:p>
        </w:tc>
        <w:tc>
          <w:tcPr>
            <w:tcW w:w="1842" w:type="dxa"/>
          </w:tcPr>
          <w:p w:rsidR="00393BE3" w:rsidRPr="00393BE3" w:rsidRDefault="00393BE3" w:rsidP="00BC373E">
            <w:pPr>
              <w:jc w:val="both"/>
              <w:rPr>
                <w:lang w:val="en-GB"/>
              </w:rPr>
            </w:pPr>
          </w:p>
        </w:tc>
        <w:tc>
          <w:tcPr>
            <w:tcW w:w="1843" w:type="dxa"/>
          </w:tcPr>
          <w:p w:rsidR="00393BE3" w:rsidRPr="00393BE3" w:rsidRDefault="00393BE3" w:rsidP="00BC373E">
            <w:pPr>
              <w:jc w:val="both"/>
              <w:rPr>
                <w:lang w:val="en-GB"/>
              </w:rPr>
            </w:pPr>
          </w:p>
        </w:tc>
        <w:tc>
          <w:tcPr>
            <w:tcW w:w="1843" w:type="dxa"/>
          </w:tcPr>
          <w:p w:rsidR="00393BE3" w:rsidRPr="00393BE3" w:rsidRDefault="00393BE3" w:rsidP="00BC373E">
            <w:pPr>
              <w:jc w:val="both"/>
              <w:rPr>
                <w:lang w:val="en-GB"/>
              </w:rPr>
            </w:pPr>
          </w:p>
        </w:tc>
      </w:tr>
      <w:tr w:rsidR="00393BE3" w:rsidRPr="00393BE3" w:rsidTr="00BC373E">
        <w:tc>
          <w:tcPr>
            <w:tcW w:w="1842" w:type="dxa"/>
          </w:tcPr>
          <w:p w:rsidR="00393BE3" w:rsidRPr="00393BE3" w:rsidRDefault="00393BE3" w:rsidP="00BC373E">
            <w:pPr>
              <w:jc w:val="both"/>
              <w:rPr>
                <w:lang w:val="en-GB"/>
              </w:rPr>
            </w:pPr>
            <w:r w:rsidRPr="00393BE3">
              <w:rPr>
                <w:lang w:val="en-GB"/>
              </w:rPr>
              <w:t xml:space="preserve">workplace training </w:t>
            </w:r>
          </w:p>
        </w:tc>
        <w:tc>
          <w:tcPr>
            <w:tcW w:w="1842" w:type="dxa"/>
          </w:tcPr>
          <w:p w:rsidR="00393BE3" w:rsidRPr="00393BE3" w:rsidRDefault="00393BE3" w:rsidP="00BC373E">
            <w:pPr>
              <w:jc w:val="both"/>
              <w:rPr>
                <w:lang w:val="en-GB"/>
              </w:rPr>
            </w:pPr>
          </w:p>
        </w:tc>
        <w:tc>
          <w:tcPr>
            <w:tcW w:w="1842" w:type="dxa"/>
          </w:tcPr>
          <w:p w:rsidR="00393BE3" w:rsidRPr="00393BE3" w:rsidRDefault="00393BE3" w:rsidP="00BC373E">
            <w:pPr>
              <w:jc w:val="both"/>
              <w:rPr>
                <w:lang w:val="en-GB"/>
              </w:rPr>
            </w:pPr>
          </w:p>
        </w:tc>
        <w:tc>
          <w:tcPr>
            <w:tcW w:w="1843" w:type="dxa"/>
          </w:tcPr>
          <w:p w:rsidR="00393BE3" w:rsidRPr="00393BE3" w:rsidRDefault="00393BE3" w:rsidP="00BC373E">
            <w:pPr>
              <w:jc w:val="both"/>
              <w:rPr>
                <w:lang w:val="en-GB"/>
              </w:rPr>
            </w:pPr>
          </w:p>
        </w:tc>
        <w:tc>
          <w:tcPr>
            <w:tcW w:w="1843" w:type="dxa"/>
          </w:tcPr>
          <w:p w:rsidR="00393BE3" w:rsidRPr="00393BE3" w:rsidRDefault="00393BE3" w:rsidP="00BC373E">
            <w:pPr>
              <w:jc w:val="both"/>
              <w:rPr>
                <w:lang w:val="en-GB"/>
              </w:rPr>
            </w:pPr>
          </w:p>
        </w:tc>
      </w:tr>
      <w:tr w:rsidR="006059D6" w:rsidRPr="00393BE3" w:rsidTr="00BC373E">
        <w:tc>
          <w:tcPr>
            <w:tcW w:w="1842" w:type="dxa"/>
          </w:tcPr>
          <w:p w:rsidR="006059D6" w:rsidRPr="00393BE3" w:rsidRDefault="00144CCC" w:rsidP="00BC373E">
            <w:pPr>
              <w:jc w:val="both"/>
              <w:rPr>
                <w:lang w:val="en-GB"/>
              </w:rPr>
            </w:pPr>
            <w:r>
              <w:rPr>
                <w:lang w:val="en-GB"/>
              </w:rPr>
              <w:t xml:space="preserve">apprenticeship </w:t>
            </w:r>
          </w:p>
        </w:tc>
        <w:tc>
          <w:tcPr>
            <w:tcW w:w="1842" w:type="dxa"/>
          </w:tcPr>
          <w:p w:rsidR="006059D6" w:rsidRPr="00393BE3" w:rsidRDefault="006059D6" w:rsidP="00BC373E">
            <w:pPr>
              <w:jc w:val="both"/>
              <w:rPr>
                <w:lang w:val="en-GB"/>
              </w:rPr>
            </w:pPr>
          </w:p>
        </w:tc>
        <w:tc>
          <w:tcPr>
            <w:tcW w:w="1842" w:type="dxa"/>
          </w:tcPr>
          <w:p w:rsidR="006059D6" w:rsidRPr="00393BE3" w:rsidRDefault="006059D6" w:rsidP="00BC373E">
            <w:pPr>
              <w:jc w:val="both"/>
              <w:rPr>
                <w:lang w:val="en-GB"/>
              </w:rPr>
            </w:pPr>
          </w:p>
        </w:tc>
        <w:tc>
          <w:tcPr>
            <w:tcW w:w="1843" w:type="dxa"/>
          </w:tcPr>
          <w:p w:rsidR="006059D6" w:rsidRPr="00393BE3" w:rsidRDefault="006059D6" w:rsidP="00BC373E">
            <w:pPr>
              <w:jc w:val="both"/>
              <w:rPr>
                <w:lang w:val="en-GB"/>
              </w:rPr>
            </w:pPr>
          </w:p>
        </w:tc>
        <w:tc>
          <w:tcPr>
            <w:tcW w:w="1843" w:type="dxa"/>
          </w:tcPr>
          <w:p w:rsidR="006059D6" w:rsidRPr="00393BE3" w:rsidRDefault="006059D6" w:rsidP="00BC373E">
            <w:pPr>
              <w:jc w:val="both"/>
              <w:rPr>
                <w:lang w:val="en-GB"/>
              </w:rPr>
            </w:pPr>
          </w:p>
        </w:tc>
      </w:tr>
      <w:tr w:rsidR="006059D6" w:rsidRPr="00393BE3" w:rsidTr="00BC373E">
        <w:tc>
          <w:tcPr>
            <w:tcW w:w="1842" w:type="dxa"/>
          </w:tcPr>
          <w:p w:rsidR="006059D6" w:rsidRDefault="006059D6" w:rsidP="00BC373E">
            <w:pPr>
              <w:jc w:val="both"/>
              <w:rPr>
                <w:lang w:val="en-GB"/>
              </w:rPr>
            </w:pPr>
            <w:r>
              <w:rPr>
                <w:lang w:val="en-GB"/>
              </w:rPr>
              <w:t>recruitment incentives/ wage-subsidies, tax-reliefs</w:t>
            </w:r>
          </w:p>
        </w:tc>
        <w:tc>
          <w:tcPr>
            <w:tcW w:w="1842" w:type="dxa"/>
          </w:tcPr>
          <w:p w:rsidR="006059D6" w:rsidRPr="00393BE3" w:rsidRDefault="006059D6" w:rsidP="00BC373E">
            <w:pPr>
              <w:jc w:val="both"/>
              <w:rPr>
                <w:lang w:val="en-GB"/>
              </w:rPr>
            </w:pPr>
          </w:p>
        </w:tc>
        <w:tc>
          <w:tcPr>
            <w:tcW w:w="1842" w:type="dxa"/>
          </w:tcPr>
          <w:p w:rsidR="006059D6" w:rsidRPr="00393BE3" w:rsidRDefault="006059D6" w:rsidP="00BC373E">
            <w:pPr>
              <w:jc w:val="both"/>
              <w:rPr>
                <w:lang w:val="en-GB"/>
              </w:rPr>
            </w:pPr>
          </w:p>
        </w:tc>
        <w:tc>
          <w:tcPr>
            <w:tcW w:w="1843" w:type="dxa"/>
          </w:tcPr>
          <w:p w:rsidR="006059D6" w:rsidRPr="00393BE3" w:rsidRDefault="006059D6" w:rsidP="00BC373E">
            <w:pPr>
              <w:jc w:val="both"/>
              <w:rPr>
                <w:lang w:val="en-GB"/>
              </w:rPr>
            </w:pPr>
          </w:p>
        </w:tc>
        <w:tc>
          <w:tcPr>
            <w:tcW w:w="1843" w:type="dxa"/>
          </w:tcPr>
          <w:p w:rsidR="006059D6" w:rsidRPr="00393BE3" w:rsidRDefault="006059D6" w:rsidP="00BC373E">
            <w:pPr>
              <w:jc w:val="both"/>
              <w:rPr>
                <w:lang w:val="en-GB"/>
              </w:rPr>
            </w:pPr>
          </w:p>
        </w:tc>
      </w:tr>
      <w:tr w:rsidR="006059D6" w:rsidRPr="00393BE3" w:rsidTr="00BC373E">
        <w:tc>
          <w:tcPr>
            <w:tcW w:w="1842" w:type="dxa"/>
          </w:tcPr>
          <w:p w:rsidR="006059D6" w:rsidRDefault="002E7981" w:rsidP="00BC373E">
            <w:pPr>
              <w:jc w:val="both"/>
              <w:rPr>
                <w:lang w:val="en-GB"/>
              </w:rPr>
            </w:pPr>
            <w:r>
              <w:rPr>
                <w:lang w:val="en-GB"/>
              </w:rPr>
              <w:t xml:space="preserve">sheltered employment </w:t>
            </w:r>
          </w:p>
        </w:tc>
        <w:tc>
          <w:tcPr>
            <w:tcW w:w="1842" w:type="dxa"/>
          </w:tcPr>
          <w:p w:rsidR="006059D6" w:rsidRPr="00393BE3" w:rsidRDefault="006059D6" w:rsidP="00BC373E">
            <w:pPr>
              <w:jc w:val="both"/>
              <w:rPr>
                <w:lang w:val="en-GB"/>
              </w:rPr>
            </w:pPr>
          </w:p>
        </w:tc>
        <w:tc>
          <w:tcPr>
            <w:tcW w:w="1842" w:type="dxa"/>
          </w:tcPr>
          <w:p w:rsidR="006059D6" w:rsidRPr="00393BE3" w:rsidRDefault="006059D6" w:rsidP="00BC373E">
            <w:pPr>
              <w:jc w:val="both"/>
              <w:rPr>
                <w:lang w:val="en-GB"/>
              </w:rPr>
            </w:pPr>
          </w:p>
        </w:tc>
        <w:tc>
          <w:tcPr>
            <w:tcW w:w="1843" w:type="dxa"/>
          </w:tcPr>
          <w:p w:rsidR="006059D6" w:rsidRPr="00393BE3" w:rsidRDefault="006059D6" w:rsidP="00BC373E">
            <w:pPr>
              <w:jc w:val="both"/>
              <w:rPr>
                <w:lang w:val="en-GB"/>
              </w:rPr>
            </w:pPr>
          </w:p>
        </w:tc>
        <w:tc>
          <w:tcPr>
            <w:tcW w:w="1843" w:type="dxa"/>
          </w:tcPr>
          <w:p w:rsidR="006059D6" w:rsidRPr="00393BE3" w:rsidRDefault="006059D6" w:rsidP="00BC373E">
            <w:pPr>
              <w:jc w:val="both"/>
              <w:rPr>
                <w:lang w:val="en-GB"/>
              </w:rPr>
            </w:pPr>
          </w:p>
        </w:tc>
      </w:tr>
      <w:tr w:rsidR="006059D6" w:rsidRPr="00393BE3" w:rsidTr="00BC373E">
        <w:tc>
          <w:tcPr>
            <w:tcW w:w="1842" w:type="dxa"/>
          </w:tcPr>
          <w:p w:rsidR="006059D6" w:rsidRDefault="002E7981" w:rsidP="00BC373E">
            <w:pPr>
              <w:jc w:val="both"/>
              <w:rPr>
                <w:lang w:val="en-GB"/>
              </w:rPr>
            </w:pPr>
            <w:r>
              <w:rPr>
                <w:lang w:val="en-GB"/>
              </w:rPr>
              <w:t>rehabilitation for PWD</w:t>
            </w:r>
          </w:p>
        </w:tc>
        <w:tc>
          <w:tcPr>
            <w:tcW w:w="1842" w:type="dxa"/>
          </w:tcPr>
          <w:p w:rsidR="006059D6" w:rsidRPr="00393BE3" w:rsidRDefault="006059D6" w:rsidP="00BC373E">
            <w:pPr>
              <w:jc w:val="both"/>
              <w:rPr>
                <w:lang w:val="en-GB"/>
              </w:rPr>
            </w:pPr>
          </w:p>
        </w:tc>
        <w:tc>
          <w:tcPr>
            <w:tcW w:w="1842" w:type="dxa"/>
          </w:tcPr>
          <w:p w:rsidR="006059D6" w:rsidRPr="00393BE3" w:rsidRDefault="006059D6" w:rsidP="00BC373E">
            <w:pPr>
              <w:jc w:val="both"/>
              <w:rPr>
                <w:lang w:val="en-GB"/>
              </w:rPr>
            </w:pPr>
          </w:p>
        </w:tc>
        <w:tc>
          <w:tcPr>
            <w:tcW w:w="1843" w:type="dxa"/>
          </w:tcPr>
          <w:p w:rsidR="006059D6" w:rsidRPr="00393BE3" w:rsidRDefault="006059D6" w:rsidP="00BC373E">
            <w:pPr>
              <w:jc w:val="both"/>
              <w:rPr>
                <w:lang w:val="en-GB"/>
              </w:rPr>
            </w:pPr>
          </w:p>
        </w:tc>
        <w:tc>
          <w:tcPr>
            <w:tcW w:w="1843" w:type="dxa"/>
          </w:tcPr>
          <w:p w:rsidR="006059D6" w:rsidRPr="00393BE3" w:rsidRDefault="006059D6" w:rsidP="00BC373E">
            <w:pPr>
              <w:jc w:val="both"/>
              <w:rPr>
                <w:lang w:val="en-GB"/>
              </w:rPr>
            </w:pPr>
          </w:p>
        </w:tc>
      </w:tr>
      <w:tr w:rsidR="002E7981" w:rsidRPr="00393BE3" w:rsidTr="00BC373E">
        <w:tc>
          <w:tcPr>
            <w:tcW w:w="1842" w:type="dxa"/>
          </w:tcPr>
          <w:p w:rsidR="002E7981" w:rsidRDefault="002E7981" w:rsidP="00BC373E">
            <w:pPr>
              <w:jc w:val="both"/>
              <w:rPr>
                <w:lang w:val="en-GB"/>
              </w:rPr>
            </w:pPr>
            <w:r>
              <w:rPr>
                <w:lang w:val="en-GB"/>
              </w:rPr>
              <w:t>direct job creation/ public work</w:t>
            </w:r>
          </w:p>
        </w:tc>
        <w:tc>
          <w:tcPr>
            <w:tcW w:w="1842" w:type="dxa"/>
          </w:tcPr>
          <w:p w:rsidR="002E7981" w:rsidRPr="00393BE3" w:rsidRDefault="002E7981" w:rsidP="00BC373E">
            <w:pPr>
              <w:jc w:val="both"/>
              <w:rPr>
                <w:lang w:val="en-GB"/>
              </w:rPr>
            </w:pPr>
          </w:p>
        </w:tc>
        <w:tc>
          <w:tcPr>
            <w:tcW w:w="1842" w:type="dxa"/>
          </w:tcPr>
          <w:p w:rsidR="002E7981" w:rsidRPr="00393BE3" w:rsidRDefault="002E7981" w:rsidP="00BC373E">
            <w:pPr>
              <w:jc w:val="both"/>
              <w:rPr>
                <w:lang w:val="en-GB"/>
              </w:rPr>
            </w:pPr>
          </w:p>
        </w:tc>
        <w:tc>
          <w:tcPr>
            <w:tcW w:w="1843" w:type="dxa"/>
          </w:tcPr>
          <w:p w:rsidR="002E7981" w:rsidRPr="00393BE3" w:rsidRDefault="002E7981" w:rsidP="00BC373E">
            <w:pPr>
              <w:jc w:val="both"/>
              <w:rPr>
                <w:lang w:val="en-GB"/>
              </w:rPr>
            </w:pPr>
          </w:p>
        </w:tc>
        <w:tc>
          <w:tcPr>
            <w:tcW w:w="1843" w:type="dxa"/>
          </w:tcPr>
          <w:p w:rsidR="002E7981" w:rsidRPr="00393BE3" w:rsidRDefault="002E7981" w:rsidP="00BC373E">
            <w:pPr>
              <w:jc w:val="both"/>
              <w:rPr>
                <w:lang w:val="en-GB"/>
              </w:rPr>
            </w:pPr>
          </w:p>
        </w:tc>
      </w:tr>
      <w:tr w:rsidR="00D335E1" w:rsidRPr="00393BE3" w:rsidTr="00BC373E">
        <w:tc>
          <w:tcPr>
            <w:tcW w:w="1842" w:type="dxa"/>
          </w:tcPr>
          <w:p w:rsidR="00D335E1" w:rsidRDefault="00D335E1" w:rsidP="00BC373E">
            <w:pPr>
              <w:jc w:val="both"/>
              <w:rPr>
                <w:lang w:val="en-GB"/>
              </w:rPr>
            </w:pPr>
            <w:r>
              <w:rPr>
                <w:lang w:val="en-GB"/>
              </w:rPr>
              <w:t xml:space="preserve">start-up incentives/ incl. micro credentials </w:t>
            </w:r>
          </w:p>
        </w:tc>
        <w:tc>
          <w:tcPr>
            <w:tcW w:w="1842" w:type="dxa"/>
          </w:tcPr>
          <w:p w:rsidR="00D335E1" w:rsidRPr="00393BE3" w:rsidRDefault="00D335E1" w:rsidP="00BC373E">
            <w:pPr>
              <w:jc w:val="both"/>
              <w:rPr>
                <w:lang w:val="en-GB"/>
              </w:rPr>
            </w:pPr>
          </w:p>
        </w:tc>
        <w:tc>
          <w:tcPr>
            <w:tcW w:w="1842" w:type="dxa"/>
          </w:tcPr>
          <w:p w:rsidR="00D335E1" w:rsidRPr="00393BE3" w:rsidRDefault="00D335E1" w:rsidP="00BC373E">
            <w:pPr>
              <w:jc w:val="both"/>
              <w:rPr>
                <w:lang w:val="en-GB"/>
              </w:rPr>
            </w:pPr>
          </w:p>
        </w:tc>
        <w:tc>
          <w:tcPr>
            <w:tcW w:w="1843" w:type="dxa"/>
          </w:tcPr>
          <w:p w:rsidR="00D335E1" w:rsidRPr="00393BE3" w:rsidRDefault="00D335E1" w:rsidP="00BC373E">
            <w:pPr>
              <w:jc w:val="both"/>
              <w:rPr>
                <w:lang w:val="en-GB"/>
              </w:rPr>
            </w:pPr>
          </w:p>
        </w:tc>
        <w:tc>
          <w:tcPr>
            <w:tcW w:w="1843" w:type="dxa"/>
          </w:tcPr>
          <w:p w:rsidR="00D335E1" w:rsidRPr="00393BE3" w:rsidRDefault="00D335E1" w:rsidP="00BC373E">
            <w:pPr>
              <w:jc w:val="both"/>
              <w:rPr>
                <w:lang w:val="en-GB"/>
              </w:rPr>
            </w:pPr>
          </w:p>
        </w:tc>
      </w:tr>
    </w:tbl>
    <w:p w:rsidR="007343AD" w:rsidRDefault="007343AD" w:rsidP="007B5D07">
      <w:pPr>
        <w:rPr>
          <w:b/>
          <w:lang w:val="en-GB"/>
        </w:rPr>
      </w:pPr>
    </w:p>
    <w:p w:rsidR="007343AD" w:rsidRDefault="007343AD">
      <w:pPr>
        <w:rPr>
          <w:b/>
          <w:lang w:val="en-GB"/>
        </w:rPr>
      </w:pPr>
      <w:r>
        <w:rPr>
          <w:b/>
          <w:lang w:val="en-GB"/>
        </w:rPr>
        <w:br w:type="page"/>
      </w:r>
    </w:p>
    <w:p w:rsidR="0056675C" w:rsidRDefault="006F10F7" w:rsidP="006F10F7">
      <w:pPr>
        <w:pStyle w:val="Heading1"/>
        <w:rPr>
          <w:lang w:val="en-GB"/>
        </w:rPr>
      </w:pPr>
      <w:bookmarkStart w:id="14" w:name="_Toc532373502"/>
      <w:r>
        <w:rPr>
          <w:lang w:val="en-GB"/>
        </w:rPr>
        <w:lastRenderedPageBreak/>
        <w:t>References</w:t>
      </w:r>
      <w:bookmarkEnd w:id="14"/>
      <w:r>
        <w:rPr>
          <w:lang w:val="en-GB"/>
        </w:rPr>
        <w:t xml:space="preserve"> </w:t>
      </w:r>
    </w:p>
    <w:p w:rsidR="006F10F7" w:rsidRDefault="006F10F7" w:rsidP="006F10F7">
      <w:pPr>
        <w:rPr>
          <w:lang w:val="en-GB"/>
        </w:rPr>
      </w:pPr>
    </w:p>
    <w:p w:rsidR="006F10F7" w:rsidRDefault="006F10F7" w:rsidP="006F10F7">
      <w:pPr>
        <w:rPr>
          <w:lang w:val="en-GB"/>
        </w:rPr>
      </w:pPr>
      <w:r>
        <w:rPr>
          <w:lang w:val="en-GB"/>
        </w:rPr>
        <w:t xml:space="preserve">EUROSTAT (2018) </w:t>
      </w:r>
      <w:r w:rsidRPr="006F10F7">
        <w:rPr>
          <w:lang w:val="en-GB"/>
        </w:rPr>
        <w:t>Labour market po</w:t>
      </w:r>
      <w:r>
        <w:rPr>
          <w:lang w:val="en-GB"/>
        </w:rPr>
        <w:t xml:space="preserve">licy statistics: Methodology, Luxembourg </w:t>
      </w:r>
    </w:p>
    <w:p w:rsidR="00304535" w:rsidRDefault="00304535" w:rsidP="006F10F7">
      <w:pPr>
        <w:rPr>
          <w:lang w:val="en-GB"/>
        </w:rPr>
      </w:pPr>
      <w:r>
        <w:rPr>
          <w:lang w:val="en-GB"/>
        </w:rPr>
        <w:t xml:space="preserve">ILO Convention 122 </w:t>
      </w:r>
      <w:r w:rsidRPr="00304535">
        <w:rPr>
          <w:lang w:val="en-GB"/>
        </w:rPr>
        <w:t>Employment Policy Convention, 1964 (No. 122)</w:t>
      </w:r>
    </w:p>
    <w:p w:rsidR="00304535" w:rsidRDefault="00856542" w:rsidP="006F10F7">
      <w:pPr>
        <w:rPr>
          <w:lang w:val="en-GB"/>
        </w:rPr>
      </w:pPr>
      <w:hyperlink r:id="rId10" w:history="1">
        <w:r w:rsidR="00304535" w:rsidRPr="00586A11">
          <w:rPr>
            <w:rStyle w:val="Hyperlink"/>
            <w:lang w:val="en-GB"/>
          </w:rPr>
          <w:t>https://www.ilo.org/dyn/normlex/en/f?p=NORMLEXPUB:12100:0::NO::P12100_INSTRUMENT_ID:312267</w:t>
        </w:r>
      </w:hyperlink>
      <w:r w:rsidR="00304535">
        <w:rPr>
          <w:lang w:val="en-GB"/>
        </w:rPr>
        <w:t xml:space="preserve"> </w:t>
      </w:r>
    </w:p>
    <w:p w:rsidR="00067CD4" w:rsidRDefault="00067CD4" w:rsidP="00067CD4">
      <w:pPr>
        <w:rPr>
          <w:lang w:val="en-GB"/>
        </w:rPr>
      </w:pPr>
      <w:r>
        <w:rPr>
          <w:lang w:val="en-GB"/>
        </w:rPr>
        <w:t>ILO/</w:t>
      </w:r>
      <w:r w:rsidRPr="00067CD4">
        <w:rPr>
          <w:lang w:val="en-GB"/>
        </w:rPr>
        <w:t xml:space="preserve"> Susan </w:t>
      </w:r>
      <w:proofErr w:type="spellStart"/>
      <w:r w:rsidRPr="00067CD4">
        <w:rPr>
          <w:lang w:val="en-GB"/>
        </w:rPr>
        <w:t>Razzaz</w:t>
      </w:r>
      <w:proofErr w:type="spellEnd"/>
      <w:r>
        <w:rPr>
          <w:lang w:val="en-GB"/>
        </w:rPr>
        <w:t xml:space="preserve"> ed. (201</w:t>
      </w:r>
      <w:r w:rsidR="00B91FC9">
        <w:rPr>
          <w:lang w:val="en-GB"/>
        </w:rPr>
        <w:t>7</w:t>
      </w:r>
      <w:r>
        <w:rPr>
          <w:lang w:val="en-GB"/>
        </w:rPr>
        <w:t xml:space="preserve">) </w:t>
      </w:r>
      <w:r w:rsidRPr="00067CD4">
        <w:rPr>
          <w:lang w:val="en-GB"/>
        </w:rPr>
        <w:t>A CHALLENGING MARKET BECOMES MORE CHALLENGING</w:t>
      </w:r>
      <w:r>
        <w:rPr>
          <w:lang w:val="en-GB"/>
        </w:rPr>
        <w:t xml:space="preserve"> </w:t>
      </w:r>
      <w:r w:rsidRPr="00067CD4">
        <w:rPr>
          <w:lang w:val="en-GB"/>
        </w:rPr>
        <w:t>Jordanian Workers, Migrant Workers and Refugees in the Jordanian Labour Market</w:t>
      </w:r>
    </w:p>
    <w:p w:rsidR="00067CD4" w:rsidRPr="00067CD4" w:rsidRDefault="00067CD4" w:rsidP="00067CD4">
      <w:pPr>
        <w:rPr>
          <w:lang w:val="en-GB"/>
        </w:rPr>
      </w:pPr>
      <w:r>
        <w:rPr>
          <w:lang w:val="en-GB"/>
        </w:rPr>
        <w:t>Government of Jordan Jordan’s Employment Strategy 2011-2020</w:t>
      </w:r>
    </w:p>
    <w:sectPr w:rsidR="00067CD4" w:rsidRPr="00067CD4" w:rsidSect="00856542">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60C"/>
    <w:multiLevelType w:val="hybridMultilevel"/>
    <w:tmpl w:val="8CBA2114"/>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 w15:restartNumberingAfterBreak="0">
    <w:nsid w:val="1491388F"/>
    <w:multiLevelType w:val="hybridMultilevel"/>
    <w:tmpl w:val="F7EE2A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6A17D5"/>
    <w:multiLevelType w:val="hybridMultilevel"/>
    <w:tmpl w:val="0AB046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F98580C"/>
    <w:multiLevelType w:val="hybridMultilevel"/>
    <w:tmpl w:val="FDAC38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0751083"/>
    <w:multiLevelType w:val="hybridMultilevel"/>
    <w:tmpl w:val="49B63FAC"/>
    <w:lvl w:ilvl="0" w:tplc="CF34916C">
      <w:numFmt w:val="bullet"/>
      <w:lvlText w:val="-"/>
      <w:lvlJc w:val="left"/>
      <w:pPr>
        <w:ind w:left="720" w:hanging="360"/>
      </w:pPr>
      <w:rPr>
        <w:rFonts w:ascii="Cambria" w:eastAsiaTheme="majorEastAsia" w:hAnsi="Cambria"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6F56D9F"/>
    <w:multiLevelType w:val="multilevel"/>
    <w:tmpl w:val="7AC6649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C0DE9"/>
    <w:rsid w:val="00023F2F"/>
    <w:rsid w:val="00067CD4"/>
    <w:rsid w:val="00094DF2"/>
    <w:rsid w:val="000B5572"/>
    <w:rsid w:val="000B60B7"/>
    <w:rsid w:val="000C2EED"/>
    <w:rsid w:val="000F3AED"/>
    <w:rsid w:val="00115404"/>
    <w:rsid w:val="0014160F"/>
    <w:rsid w:val="001433B4"/>
    <w:rsid w:val="00144CCC"/>
    <w:rsid w:val="00145BD0"/>
    <w:rsid w:val="0017610F"/>
    <w:rsid w:val="001E6D5C"/>
    <w:rsid w:val="00205E8C"/>
    <w:rsid w:val="00242607"/>
    <w:rsid w:val="002437C6"/>
    <w:rsid w:val="00296930"/>
    <w:rsid w:val="002D61FD"/>
    <w:rsid w:val="002E7981"/>
    <w:rsid w:val="00304535"/>
    <w:rsid w:val="0032331B"/>
    <w:rsid w:val="00331CEB"/>
    <w:rsid w:val="003772E3"/>
    <w:rsid w:val="003802EB"/>
    <w:rsid w:val="00393BE3"/>
    <w:rsid w:val="0040738C"/>
    <w:rsid w:val="004262A7"/>
    <w:rsid w:val="0043457B"/>
    <w:rsid w:val="004447E9"/>
    <w:rsid w:val="0045288B"/>
    <w:rsid w:val="00467702"/>
    <w:rsid w:val="004C49CF"/>
    <w:rsid w:val="004E48D0"/>
    <w:rsid w:val="0052075D"/>
    <w:rsid w:val="005547EE"/>
    <w:rsid w:val="0056675C"/>
    <w:rsid w:val="005770B2"/>
    <w:rsid w:val="005E12A1"/>
    <w:rsid w:val="006059D6"/>
    <w:rsid w:val="006242B7"/>
    <w:rsid w:val="00627C98"/>
    <w:rsid w:val="00656B92"/>
    <w:rsid w:val="00676305"/>
    <w:rsid w:val="006949D1"/>
    <w:rsid w:val="006C1B3F"/>
    <w:rsid w:val="006F10F7"/>
    <w:rsid w:val="006F6B96"/>
    <w:rsid w:val="00703946"/>
    <w:rsid w:val="00716B79"/>
    <w:rsid w:val="007343AD"/>
    <w:rsid w:val="007357DD"/>
    <w:rsid w:val="007B5D07"/>
    <w:rsid w:val="00826FB4"/>
    <w:rsid w:val="00856542"/>
    <w:rsid w:val="008B3B93"/>
    <w:rsid w:val="008C16A9"/>
    <w:rsid w:val="00943ADF"/>
    <w:rsid w:val="00951697"/>
    <w:rsid w:val="009A0168"/>
    <w:rsid w:val="009C338B"/>
    <w:rsid w:val="009E1A5E"/>
    <w:rsid w:val="009F3296"/>
    <w:rsid w:val="00A7285C"/>
    <w:rsid w:val="00A73C55"/>
    <w:rsid w:val="00AB1BD8"/>
    <w:rsid w:val="00AB64E8"/>
    <w:rsid w:val="00AD3133"/>
    <w:rsid w:val="00AE2AF5"/>
    <w:rsid w:val="00B00AC9"/>
    <w:rsid w:val="00B573A5"/>
    <w:rsid w:val="00B86D27"/>
    <w:rsid w:val="00B91FC9"/>
    <w:rsid w:val="00BD0FE8"/>
    <w:rsid w:val="00BD14C2"/>
    <w:rsid w:val="00BF45D9"/>
    <w:rsid w:val="00C02432"/>
    <w:rsid w:val="00C4632D"/>
    <w:rsid w:val="00C62343"/>
    <w:rsid w:val="00C73F59"/>
    <w:rsid w:val="00C97B1D"/>
    <w:rsid w:val="00CA0E1F"/>
    <w:rsid w:val="00CB196D"/>
    <w:rsid w:val="00CD71FA"/>
    <w:rsid w:val="00D335E1"/>
    <w:rsid w:val="00D61BBC"/>
    <w:rsid w:val="00D63158"/>
    <w:rsid w:val="00DB1D0E"/>
    <w:rsid w:val="00DF45E7"/>
    <w:rsid w:val="00E41B2A"/>
    <w:rsid w:val="00E76658"/>
    <w:rsid w:val="00E9069A"/>
    <w:rsid w:val="00ED506E"/>
    <w:rsid w:val="00ED61CC"/>
    <w:rsid w:val="00F26972"/>
    <w:rsid w:val="00F8275B"/>
    <w:rsid w:val="00F94E0C"/>
    <w:rsid w:val="00FC0DE9"/>
    <w:rsid w:val="00FD6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75D66D"/>
  <w15:docId w15:val="{FF92CAFF-9E43-4C1B-B2C6-50EF32C8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1F"/>
  </w:style>
  <w:style w:type="paragraph" w:styleId="Heading1">
    <w:name w:val="heading 1"/>
    <w:basedOn w:val="Normal"/>
    <w:next w:val="Normal"/>
    <w:link w:val="Heading1Char"/>
    <w:uiPriority w:val="9"/>
    <w:qFormat/>
    <w:rsid w:val="00CA0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E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E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0E1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CA0E1F"/>
    <w:pPr>
      <w:tabs>
        <w:tab w:val="center" w:pos="4535"/>
        <w:tab w:val="right" w:pos="9071"/>
      </w:tabs>
      <w:spacing w:after="0" w:line="240" w:lineRule="auto"/>
    </w:pPr>
    <w:rPr>
      <w:rFonts w:ascii="Arial" w:eastAsia="Times New Roman" w:hAnsi="Arial" w:cs="Times New Roman"/>
      <w:i/>
      <w:szCs w:val="20"/>
      <w:lang w:val="de-DE" w:eastAsia="de-DE"/>
    </w:rPr>
  </w:style>
  <w:style w:type="character" w:customStyle="1" w:styleId="HeaderChar">
    <w:name w:val="Header Char"/>
    <w:basedOn w:val="DefaultParagraphFont"/>
    <w:link w:val="Header"/>
    <w:uiPriority w:val="99"/>
    <w:rsid w:val="00CA0E1F"/>
    <w:rPr>
      <w:rFonts w:ascii="Arial" w:eastAsia="Times New Roman" w:hAnsi="Arial" w:cs="Times New Roman"/>
      <w:i/>
      <w:szCs w:val="20"/>
      <w:lang w:val="de-DE" w:eastAsia="de-DE"/>
    </w:rPr>
  </w:style>
  <w:style w:type="character" w:styleId="Hyperlink">
    <w:name w:val="Hyperlink"/>
    <w:basedOn w:val="DefaultParagraphFont"/>
    <w:uiPriority w:val="99"/>
    <w:unhideWhenUsed/>
    <w:rsid w:val="00304535"/>
    <w:rPr>
      <w:color w:val="0000FF" w:themeColor="hyperlink"/>
      <w:u w:val="single"/>
    </w:rPr>
  </w:style>
  <w:style w:type="paragraph" w:styleId="ListParagraph">
    <w:name w:val="List Paragraph"/>
    <w:basedOn w:val="Normal"/>
    <w:uiPriority w:val="34"/>
    <w:qFormat/>
    <w:rsid w:val="00F26972"/>
    <w:pPr>
      <w:ind w:left="720"/>
      <w:contextualSpacing/>
    </w:pPr>
  </w:style>
  <w:style w:type="paragraph" w:styleId="TOCHeading">
    <w:name w:val="TOC Heading"/>
    <w:basedOn w:val="Heading1"/>
    <w:next w:val="Normal"/>
    <w:uiPriority w:val="39"/>
    <w:semiHidden/>
    <w:unhideWhenUsed/>
    <w:qFormat/>
    <w:rsid w:val="001433B4"/>
    <w:pPr>
      <w:outlineLvl w:val="9"/>
    </w:pPr>
    <w:rPr>
      <w:lang w:eastAsia="hu-HU"/>
    </w:rPr>
  </w:style>
  <w:style w:type="paragraph" w:styleId="TOC1">
    <w:name w:val="toc 1"/>
    <w:basedOn w:val="Normal"/>
    <w:next w:val="Normal"/>
    <w:autoRedefine/>
    <w:uiPriority w:val="39"/>
    <w:unhideWhenUsed/>
    <w:rsid w:val="001433B4"/>
    <w:pPr>
      <w:spacing w:after="100"/>
    </w:pPr>
  </w:style>
  <w:style w:type="paragraph" w:styleId="TOC2">
    <w:name w:val="toc 2"/>
    <w:basedOn w:val="Normal"/>
    <w:next w:val="Normal"/>
    <w:autoRedefine/>
    <w:uiPriority w:val="39"/>
    <w:unhideWhenUsed/>
    <w:rsid w:val="001433B4"/>
    <w:pPr>
      <w:spacing w:after="100"/>
      <w:ind w:left="220"/>
    </w:pPr>
  </w:style>
  <w:style w:type="paragraph" w:styleId="BalloonText">
    <w:name w:val="Balloon Text"/>
    <w:basedOn w:val="Normal"/>
    <w:link w:val="BalloonTextChar"/>
    <w:uiPriority w:val="99"/>
    <w:semiHidden/>
    <w:unhideWhenUsed/>
    <w:rsid w:val="0014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B4"/>
    <w:rPr>
      <w:rFonts w:ascii="Tahoma" w:hAnsi="Tahoma" w:cs="Tahoma"/>
      <w:sz w:val="16"/>
      <w:szCs w:val="16"/>
    </w:rPr>
  </w:style>
  <w:style w:type="table" w:styleId="TableGrid">
    <w:name w:val="Table Grid"/>
    <w:basedOn w:val="TableNormal"/>
    <w:uiPriority w:val="59"/>
    <w:rsid w:val="00D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4077">
      <w:bodyDiv w:val="1"/>
      <w:marLeft w:val="0"/>
      <w:marRight w:val="0"/>
      <w:marTop w:val="0"/>
      <w:marBottom w:val="0"/>
      <w:divBdr>
        <w:top w:val="none" w:sz="0" w:space="0" w:color="auto"/>
        <w:left w:val="none" w:sz="0" w:space="0" w:color="auto"/>
        <w:bottom w:val="none" w:sz="0" w:space="0" w:color="auto"/>
        <w:right w:val="none" w:sz="0" w:space="0" w:color="auto"/>
      </w:divBdr>
    </w:div>
    <w:div w:id="5730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lo.org/dyn/normlex/en/f?p=NORMLEXPUB:12100:0::NO::P12100_INSTRUMENT_ID:312267"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3E9F-43B6-41E1-A3EF-92FA2DF4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1913</Words>
  <Characters>10909</Characters>
  <Application>Microsoft Office Word</Application>
  <DocSecurity>0</DocSecurity>
  <Lines>90</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Alhamran, Feras GIZ JO</cp:lastModifiedBy>
  <cp:revision>4</cp:revision>
  <dcterms:created xsi:type="dcterms:W3CDTF">2018-12-20T14:04:00Z</dcterms:created>
  <dcterms:modified xsi:type="dcterms:W3CDTF">2020-02-20T06:13:00Z</dcterms:modified>
</cp:coreProperties>
</file>