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3B58" w:rsidRPr="00154250" w:rsidRDefault="00B358D4" w:rsidP="009B5511">
      <w:pPr>
        <w:pStyle w:val="Header"/>
        <w:jc w:val="center"/>
        <w:rPr>
          <w:lang w:val="en-GB"/>
        </w:rPr>
      </w:pPr>
      <w:bookmarkStart w:id="0" w:name="_Toc526855877"/>
      <w:r w:rsidRPr="009B5511">
        <w:rPr>
          <w:noProof/>
          <w:lang w:val="en-US" w:eastAsia="en-US"/>
        </w:rPr>
        <mc:AlternateContent>
          <mc:Choice Requires="wps">
            <w:drawing>
              <wp:anchor distT="45720" distB="45720" distL="114300" distR="114300" simplePos="0" relativeHeight="251660288" behindDoc="0" locked="0" layoutInCell="1" allowOverlap="1" wp14:anchorId="31FECACA" wp14:editId="16B66B92">
                <wp:simplePos x="0" y="0"/>
                <wp:positionH relativeFrom="column">
                  <wp:posOffset>-311150</wp:posOffset>
                </wp:positionH>
                <wp:positionV relativeFrom="paragraph">
                  <wp:posOffset>1606550</wp:posOffset>
                </wp:positionV>
                <wp:extent cx="6470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04620"/>
                        </a:xfrm>
                        <a:prstGeom prst="rect">
                          <a:avLst/>
                        </a:prstGeom>
                        <a:noFill/>
                        <a:ln w="9525">
                          <a:noFill/>
                          <a:miter lim="800000"/>
                          <a:headEnd/>
                          <a:tailEnd/>
                        </a:ln>
                      </wps:spPr>
                      <wps:txbx>
                        <w:txbxContent>
                          <w:p w:rsidR="00B358D4" w:rsidRPr="00B358D4" w:rsidRDefault="009B5511" w:rsidP="009B5511">
                            <w:pPr>
                              <w:jc w:val="center"/>
                              <w:rPr>
                                <w:rFonts w:asciiTheme="minorBidi" w:eastAsiaTheme="majorEastAsia" w:hAnsiTheme="minorBidi"/>
                                <w:b/>
                                <w:bCs/>
                                <w:color w:val="FFFFFF" w:themeColor="background1"/>
                                <w:sz w:val="36"/>
                                <w:szCs w:val="32"/>
                                <w:lang w:val="en-GB"/>
                              </w:rPr>
                            </w:pPr>
                            <w:r w:rsidRPr="00B358D4">
                              <w:rPr>
                                <w:rFonts w:asciiTheme="minorBidi" w:eastAsiaTheme="majorEastAsia" w:hAnsiTheme="minorBidi"/>
                                <w:b/>
                                <w:bCs/>
                                <w:color w:val="FFFFFF" w:themeColor="background1"/>
                                <w:sz w:val="36"/>
                                <w:szCs w:val="32"/>
                                <w:lang w:val="en-GB"/>
                              </w:rPr>
                              <w:t>Modular training workbook</w:t>
                            </w:r>
                          </w:p>
                          <w:p w:rsidR="00B358D4" w:rsidRPr="00B358D4" w:rsidRDefault="00B358D4" w:rsidP="009B5511">
                            <w:pPr>
                              <w:jc w:val="center"/>
                              <w:rPr>
                                <w:rFonts w:asciiTheme="minorBidi" w:eastAsiaTheme="majorEastAsia" w:hAnsiTheme="minorBidi"/>
                                <w:b/>
                                <w:bCs/>
                                <w:color w:val="FFFFFF" w:themeColor="background1"/>
                                <w:szCs w:val="20"/>
                                <w:lang w:val="en-GB"/>
                              </w:rPr>
                            </w:pPr>
                          </w:p>
                          <w:p w:rsidR="00B358D4" w:rsidRPr="00B358D4" w:rsidRDefault="00B358D4" w:rsidP="00B358D4">
                            <w:pPr>
                              <w:jc w:val="center"/>
                              <w:rPr>
                                <w:rFonts w:asciiTheme="minorBidi" w:eastAsiaTheme="majorEastAsia" w:hAnsiTheme="minorBidi"/>
                                <w:b/>
                                <w:bCs/>
                                <w:color w:val="FFFFFF" w:themeColor="background1"/>
                                <w:szCs w:val="20"/>
                                <w:lang w:val="en-GB"/>
                              </w:rPr>
                            </w:pPr>
                            <w:r w:rsidRPr="00B358D4">
                              <w:rPr>
                                <w:rFonts w:asciiTheme="minorBidi" w:eastAsiaTheme="majorEastAsia" w:hAnsiTheme="minorBidi"/>
                                <w:b/>
                                <w:bCs/>
                                <w:color w:val="FFFFFF" w:themeColor="background1"/>
                                <w:szCs w:val="20"/>
                                <w:lang w:val="en-GB"/>
                              </w:rPr>
                              <w:t>Under activity 1.4.11: Provide inputs focused on statistics and elaboration of statistics reports for the Internal Information System in the E-TVET Secretariat to follow up the labour market access of the skills trained under the programme</w:t>
                            </w:r>
                          </w:p>
                          <w:p w:rsidR="00B358D4" w:rsidRPr="00B358D4" w:rsidRDefault="00B358D4" w:rsidP="00B358D4">
                            <w:pPr>
                              <w:jc w:val="center"/>
                              <w:rPr>
                                <w:rFonts w:asciiTheme="minorBidi" w:eastAsiaTheme="majorEastAsia" w:hAnsiTheme="minorBidi"/>
                                <w:b/>
                                <w:bCs/>
                                <w:color w:val="FFFFFF" w:themeColor="background1"/>
                                <w:szCs w:val="20"/>
                                <w:lang w:val="en-GB"/>
                              </w:rPr>
                            </w:pPr>
                          </w:p>
                          <w:p w:rsidR="009B5511" w:rsidRPr="00B358D4" w:rsidRDefault="00B358D4" w:rsidP="00B358D4">
                            <w:pPr>
                              <w:jc w:val="center"/>
                              <w:rPr>
                                <w:rFonts w:asciiTheme="minorBidi" w:eastAsiaTheme="majorEastAsia" w:hAnsiTheme="minorBidi"/>
                                <w:b/>
                                <w:bCs/>
                                <w:color w:val="FFFFFF" w:themeColor="background1"/>
                                <w:szCs w:val="20"/>
                                <w:lang w:val="en-GB"/>
                              </w:rPr>
                            </w:pPr>
                            <w:r w:rsidRPr="00B358D4">
                              <w:rPr>
                                <w:rFonts w:asciiTheme="minorBidi" w:eastAsiaTheme="majorEastAsia" w:hAnsiTheme="minorBidi"/>
                                <w:b/>
                                <w:bCs/>
                                <w:color w:val="FFFFFF" w:themeColor="background1"/>
                                <w:szCs w:val="20"/>
                                <w:lang w:val="en-GB"/>
                              </w:rPr>
                              <w:t>developed by Miroslav Stefanik - IER SAS (NKE Senior), Razan Hadidi (NKE Junior)</w:t>
                            </w:r>
                            <w:r w:rsidR="009B5511" w:rsidRPr="00B358D4">
                              <w:rPr>
                                <w:rFonts w:asciiTheme="minorBidi" w:eastAsiaTheme="majorEastAsia" w:hAnsiTheme="minorBidi"/>
                                <w:b/>
                                <w:bCs/>
                                <w:color w:val="FFFFFF" w:themeColor="background1"/>
                                <w:szCs w:val="20"/>
                                <w:lang w:val="en-GB"/>
                              </w:rPr>
                              <w:t xml:space="preserve"> </w:t>
                            </w:r>
                          </w:p>
                          <w:p w:rsidR="009B5511" w:rsidRPr="00B358D4" w:rsidRDefault="009B5511" w:rsidP="009B5511">
                            <w:pPr>
                              <w:rPr>
                                <w:rFonts w:asciiTheme="minorBidi" w:hAnsiTheme="minorBidi"/>
                                <w:color w:val="FFFFFF" w:themeColor="background1"/>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FECACA" id="_x0000_t202" coordsize="21600,21600" o:spt="202" path="m,l,21600r21600,l21600,xe">
                <v:stroke joinstyle="miter"/>
                <v:path gradientshapeok="t" o:connecttype="rect"/>
              </v:shapetype>
              <v:shape id="Text Box 2" o:spid="_x0000_s1026" type="#_x0000_t202" style="position:absolute;left:0;text-align:left;margin-left:-24.5pt;margin-top:126.5pt;width:509.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RlZDgIAAPUDAAAOAAAAZHJzL2Uyb0RvYy54bWysU8tu2zAQvBfoPxC813pAt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" filled="f" stroked="f">
                <v:textbox style="mso-fit-shape-to-text:t">
                  <w:txbxContent>
                    <w:p w:rsidR="00B358D4" w:rsidRPr="00B358D4" w:rsidRDefault="009B5511" w:rsidP="009B5511">
                      <w:pPr>
                        <w:jc w:val="center"/>
                        <w:rPr>
                          <w:rFonts w:asciiTheme="minorBidi" w:eastAsiaTheme="majorEastAsia" w:hAnsiTheme="minorBidi"/>
                          <w:b/>
                          <w:bCs/>
                          <w:color w:val="FFFFFF" w:themeColor="background1"/>
                          <w:sz w:val="36"/>
                          <w:szCs w:val="32"/>
                          <w:lang w:val="en-GB"/>
                        </w:rPr>
                      </w:pPr>
                      <w:r w:rsidRPr="00B358D4">
                        <w:rPr>
                          <w:rFonts w:asciiTheme="minorBidi" w:eastAsiaTheme="majorEastAsia" w:hAnsiTheme="minorBidi"/>
                          <w:b/>
                          <w:bCs/>
                          <w:color w:val="FFFFFF" w:themeColor="background1"/>
                          <w:sz w:val="36"/>
                          <w:szCs w:val="32"/>
                          <w:lang w:val="en-GB"/>
                        </w:rPr>
                        <w:t>Modular training workbook</w:t>
                      </w:r>
                    </w:p>
                    <w:p w:rsidR="00B358D4" w:rsidRPr="00B358D4" w:rsidRDefault="00B358D4" w:rsidP="009B5511">
                      <w:pPr>
                        <w:jc w:val="center"/>
                        <w:rPr>
                          <w:rFonts w:asciiTheme="minorBidi" w:eastAsiaTheme="majorEastAsia" w:hAnsiTheme="minorBidi"/>
                          <w:b/>
                          <w:bCs/>
                          <w:color w:val="FFFFFF" w:themeColor="background1"/>
                          <w:szCs w:val="20"/>
                          <w:lang w:val="en-GB"/>
                        </w:rPr>
                      </w:pPr>
                    </w:p>
                    <w:p w:rsidR="00B358D4" w:rsidRPr="00B358D4" w:rsidRDefault="00B358D4" w:rsidP="00B358D4">
                      <w:pPr>
                        <w:jc w:val="center"/>
                        <w:rPr>
                          <w:rFonts w:asciiTheme="minorBidi" w:eastAsiaTheme="majorEastAsia" w:hAnsiTheme="minorBidi"/>
                          <w:b/>
                          <w:bCs/>
                          <w:color w:val="FFFFFF" w:themeColor="background1"/>
                          <w:szCs w:val="20"/>
                          <w:lang w:val="en-GB"/>
                        </w:rPr>
                      </w:pPr>
                      <w:r w:rsidRPr="00B358D4">
                        <w:rPr>
                          <w:rFonts w:asciiTheme="minorBidi" w:eastAsiaTheme="majorEastAsia" w:hAnsiTheme="minorBidi"/>
                          <w:b/>
                          <w:bCs/>
                          <w:color w:val="FFFFFF" w:themeColor="background1"/>
                          <w:szCs w:val="20"/>
                          <w:lang w:val="en-GB"/>
                        </w:rPr>
                        <w:t>Under activity 1.4.11: Provide inputs focused on statistics and elaboration of statistics reports for the Internal Information System in the E-TVET Secretariat to follow up the labour market access of the skills trained under the programme</w:t>
                      </w:r>
                    </w:p>
                    <w:p w:rsidR="00B358D4" w:rsidRPr="00B358D4" w:rsidRDefault="00B358D4" w:rsidP="00B358D4">
                      <w:pPr>
                        <w:jc w:val="center"/>
                        <w:rPr>
                          <w:rFonts w:asciiTheme="minorBidi" w:eastAsiaTheme="majorEastAsia" w:hAnsiTheme="minorBidi"/>
                          <w:b/>
                          <w:bCs/>
                          <w:color w:val="FFFFFF" w:themeColor="background1"/>
                          <w:szCs w:val="20"/>
                          <w:lang w:val="en-GB"/>
                        </w:rPr>
                      </w:pPr>
                    </w:p>
                    <w:p w:rsidR="009B5511" w:rsidRPr="00B358D4" w:rsidRDefault="00B358D4" w:rsidP="00B358D4">
                      <w:pPr>
                        <w:jc w:val="center"/>
                        <w:rPr>
                          <w:rFonts w:asciiTheme="minorBidi" w:eastAsiaTheme="majorEastAsia" w:hAnsiTheme="minorBidi"/>
                          <w:b/>
                          <w:bCs/>
                          <w:color w:val="FFFFFF" w:themeColor="background1"/>
                          <w:szCs w:val="20"/>
                          <w:lang w:val="en-GB"/>
                        </w:rPr>
                      </w:pPr>
                      <w:r w:rsidRPr="00B358D4">
                        <w:rPr>
                          <w:rFonts w:asciiTheme="minorBidi" w:eastAsiaTheme="majorEastAsia" w:hAnsiTheme="minorBidi"/>
                          <w:b/>
                          <w:bCs/>
                          <w:color w:val="FFFFFF" w:themeColor="background1"/>
                          <w:szCs w:val="20"/>
                          <w:lang w:val="en-GB"/>
                        </w:rPr>
                        <w:t>developed by Miroslav Stefanik - IER SAS (NKE Senior), Razan Hadidi (NKE Junior)</w:t>
                      </w:r>
                      <w:r w:rsidR="009B5511" w:rsidRPr="00B358D4">
                        <w:rPr>
                          <w:rFonts w:asciiTheme="minorBidi" w:eastAsiaTheme="majorEastAsia" w:hAnsiTheme="minorBidi"/>
                          <w:b/>
                          <w:bCs/>
                          <w:color w:val="FFFFFF" w:themeColor="background1"/>
                          <w:szCs w:val="20"/>
                          <w:lang w:val="en-GB"/>
                        </w:rPr>
                        <w:t xml:space="preserve"> </w:t>
                      </w:r>
                    </w:p>
                    <w:p w:rsidR="009B5511" w:rsidRPr="00B358D4" w:rsidRDefault="009B5511" w:rsidP="009B5511">
                      <w:pPr>
                        <w:rPr>
                          <w:rFonts w:asciiTheme="minorBidi" w:hAnsiTheme="minorBidi"/>
                          <w:color w:val="FFFFFF" w:themeColor="background1"/>
                          <w:sz w:val="16"/>
                          <w:szCs w:val="16"/>
                        </w:rPr>
                      </w:pPr>
                    </w:p>
                  </w:txbxContent>
                </v:textbox>
                <w10:wrap type="square"/>
              </v:shape>
            </w:pict>
          </mc:Fallback>
        </mc:AlternateContent>
      </w:r>
      <w:bookmarkStart w:id="1" w:name="_GoBack"/>
      <w:r w:rsidR="009B5511" w:rsidRPr="009B5511">
        <w:rPr>
          <w:rFonts w:asciiTheme="minorBidi" w:hAnsiTheme="minorBidi"/>
          <w:noProof/>
          <w:lang w:val="en-US" w:eastAsia="en-US"/>
        </w:rPr>
        <w:drawing>
          <wp:anchor distT="0" distB="0" distL="114300" distR="114300" simplePos="0" relativeHeight="251658240" behindDoc="0" locked="0" layoutInCell="1" allowOverlap="1" wp14:anchorId="19A36D67" wp14:editId="2DA8D06D">
            <wp:simplePos x="0" y="0"/>
            <wp:positionH relativeFrom="column">
              <wp:posOffset>-527050</wp:posOffset>
            </wp:positionH>
            <wp:positionV relativeFrom="paragraph">
              <wp:posOffset>0</wp:posOffset>
            </wp:positionV>
            <wp:extent cx="6982460" cy="5143500"/>
            <wp:effectExtent l="0" t="0" r="8890" b="0"/>
            <wp:wrapThrough wrapText="bothSides">
              <wp:wrapPolygon edited="0">
                <wp:start x="0" y="0"/>
                <wp:lineTo x="0" y="21520"/>
                <wp:lineTo x="21569" y="21520"/>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143500"/>
                    </a:xfrm>
                    <a:prstGeom prst="rect">
                      <a:avLst/>
                    </a:prstGeom>
                  </pic:spPr>
                </pic:pic>
              </a:graphicData>
            </a:graphic>
            <wp14:sizeRelH relativeFrom="page">
              <wp14:pctWidth>0</wp14:pctWidth>
            </wp14:sizeRelH>
            <wp14:sizeRelV relativeFrom="page">
              <wp14:pctHeight>0</wp14:pctHeight>
            </wp14:sizeRelV>
          </wp:anchor>
        </w:drawing>
      </w:r>
      <w:bookmarkEnd w:id="1"/>
      <w:sdt>
        <w:sdtPr>
          <w:rPr>
            <w:lang w:val="en-GB"/>
          </w:rPr>
          <w:id w:val="673996069"/>
          <w:docPartObj>
            <w:docPartGallery w:val="Cover Pages"/>
            <w:docPartUnique/>
          </w:docPartObj>
        </w:sdtPr>
        <w:sdtEndPr/>
        <w:sdtContent>
          <w:bookmarkStart w:id="2" w:name="_Toc527355606"/>
          <w:bookmarkStart w:id="3" w:name="_Toc527483577"/>
          <w:bookmarkStart w:id="4" w:name="_Toc527610370"/>
          <w:bookmarkStart w:id="5" w:name="_Toc527610371"/>
          <w:bookmarkEnd w:id="2"/>
          <w:bookmarkEnd w:id="3"/>
          <w:bookmarkEnd w:id="4"/>
          <w:bookmarkEnd w:id="5"/>
        </w:sdtContent>
      </w:sdt>
    </w:p>
    <w:p w:rsidR="0071183F" w:rsidRPr="00154250" w:rsidRDefault="0071183F" w:rsidP="0071183F">
      <w:pPr>
        <w:rPr>
          <w:lang w:val="en-GB"/>
        </w:rPr>
      </w:pPr>
    </w:p>
    <w:p w:rsidR="009B5511" w:rsidRDefault="009B5511" w:rsidP="008176F5">
      <w:pPr>
        <w:pStyle w:val="ListParagraph"/>
        <w:ind w:left="0"/>
        <w:jc w:val="both"/>
        <w:rPr>
          <w:lang w:val="en-GB"/>
        </w:rPr>
      </w:pPr>
      <w:bookmarkStart w:id="6" w:name="_Toc527355607"/>
      <w:bookmarkEnd w:id="0"/>
      <w:bookmarkEnd w:id="6"/>
    </w:p>
    <w:p w:rsidR="009B5511" w:rsidRDefault="009B5511">
      <w:pPr>
        <w:rPr>
          <w:lang w:val="en-GB"/>
        </w:rPr>
      </w:pPr>
      <w:r>
        <w:rPr>
          <w:lang w:val="en-GB"/>
        </w:rPr>
        <w:br w:type="page"/>
      </w:r>
    </w:p>
    <w:p w:rsidR="00EB5A26" w:rsidRPr="00154250" w:rsidRDefault="00C7238F" w:rsidP="008176F5">
      <w:pPr>
        <w:pStyle w:val="ListParagraph"/>
        <w:ind w:left="0"/>
        <w:jc w:val="both"/>
        <w:rPr>
          <w:lang w:val="en-GB"/>
        </w:rPr>
      </w:pPr>
      <w:r w:rsidRPr="00154250">
        <w:rPr>
          <w:lang w:val="en-GB"/>
        </w:rPr>
        <w:lastRenderedPageBreak/>
        <w:t>Modular training programme for ETVET Secretariat staff and other relevant stakeholders (MoL, TVET providers, MoE, MoHE, social partners, etc.) on M&amp;E of employment and education policies including the following topics: a) building and analysing indicators, b) writing evaluation and technical reports, c) preparing impact analysis and monitoring, d) calculating the weights for indicators</w:t>
      </w:r>
    </w:p>
    <w:p w:rsidR="00EB5A26" w:rsidRPr="00154250" w:rsidRDefault="00EB5A26" w:rsidP="008176F5">
      <w:pPr>
        <w:pStyle w:val="ListParagraph"/>
        <w:ind w:left="0"/>
        <w:jc w:val="both"/>
        <w:rPr>
          <w:lang w:val="en-GB"/>
        </w:rPr>
      </w:pPr>
    </w:p>
    <w:p w:rsidR="00C7238F" w:rsidRPr="00154250" w:rsidRDefault="00C7238F" w:rsidP="008176F5">
      <w:pPr>
        <w:pStyle w:val="ListParagraph"/>
        <w:ind w:left="0"/>
        <w:jc w:val="both"/>
        <w:rPr>
          <w:lang w:val="en-GB"/>
        </w:rPr>
      </w:pPr>
    </w:p>
    <w:p w:rsidR="002808AB" w:rsidRPr="00154250" w:rsidRDefault="00D54CF3" w:rsidP="00C7238F">
      <w:pPr>
        <w:pStyle w:val="ListParagraph"/>
        <w:ind w:left="0"/>
        <w:jc w:val="both"/>
        <w:rPr>
          <w:lang w:val="en-GB"/>
        </w:rPr>
      </w:pPr>
      <w:r w:rsidRPr="00154250">
        <w:rPr>
          <w:lang w:val="en-GB"/>
        </w:rPr>
        <w:t xml:space="preserve">Under activity </w:t>
      </w:r>
      <w:r w:rsidR="00EB5A26" w:rsidRPr="00154250">
        <w:rPr>
          <w:lang w:val="en-GB"/>
        </w:rPr>
        <w:t>1.4.1</w:t>
      </w:r>
      <w:r w:rsidR="00C7238F" w:rsidRPr="00154250">
        <w:rPr>
          <w:lang w:val="en-GB"/>
        </w:rPr>
        <w:t>1</w:t>
      </w:r>
      <w:r w:rsidR="002808AB" w:rsidRPr="00154250">
        <w:rPr>
          <w:lang w:val="en-GB"/>
        </w:rPr>
        <w:t xml:space="preserve">: </w:t>
      </w:r>
      <w:r w:rsidR="00C7238F" w:rsidRPr="00154250">
        <w:rPr>
          <w:lang w:val="en-GB"/>
        </w:rPr>
        <w:t>Provide inputs focused on statistics and elaboration of statistics reports for the Internal Information System in the E-TVET Secretariat to follow up the labour market access of the skills trained under the programme</w:t>
      </w:r>
    </w:p>
    <w:p w:rsidR="003F3C20" w:rsidRPr="00154250" w:rsidRDefault="003F3C20" w:rsidP="008176F5">
      <w:pPr>
        <w:jc w:val="both"/>
        <w:rPr>
          <w:lang w:val="en-GB"/>
        </w:rPr>
      </w:pPr>
    </w:p>
    <w:p w:rsidR="0077645C" w:rsidRPr="00154250" w:rsidRDefault="0077645C" w:rsidP="008176F5">
      <w:pPr>
        <w:jc w:val="both"/>
        <w:rPr>
          <w:lang w:val="en-GB"/>
        </w:rPr>
      </w:pPr>
    </w:p>
    <w:p w:rsidR="0077645C" w:rsidRPr="00154250" w:rsidRDefault="0077645C" w:rsidP="008176F5">
      <w:pPr>
        <w:jc w:val="both"/>
        <w:rPr>
          <w:lang w:val="en-GB"/>
        </w:rPr>
      </w:pPr>
      <w:r w:rsidRPr="00154250">
        <w:rPr>
          <w:lang w:val="en-GB"/>
        </w:rPr>
        <w:t xml:space="preserve">developed by </w:t>
      </w:r>
      <w:r w:rsidR="00533535" w:rsidRPr="00154250">
        <w:rPr>
          <w:lang w:val="en-GB"/>
        </w:rPr>
        <w:t>Miroslav Stefanik - IER SAS (</w:t>
      </w:r>
      <w:r w:rsidR="002808AB" w:rsidRPr="00154250">
        <w:rPr>
          <w:lang w:val="en-GB"/>
        </w:rPr>
        <w:t>NKE Senior)</w:t>
      </w:r>
      <w:r w:rsidRPr="00154250">
        <w:rPr>
          <w:lang w:val="en-GB"/>
        </w:rPr>
        <w:t xml:space="preserve">, </w:t>
      </w:r>
      <w:r w:rsidR="002808AB" w:rsidRPr="00154250">
        <w:rPr>
          <w:lang w:val="en-GB"/>
        </w:rPr>
        <w:t>Razan Hadidi (NKE Junior)</w:t>
      </w:r>
    </w:p>
    <w:p w:rsidR="00885AFA" w:rsidRPr="00154250" w:rsidRDefault="00885AFA" w:rsidP="008176F5">
      <w:pPr>
        <w:jc w:val="both"/>
        <w:rPr>
          <w:lang w:val="en-GB"/>
        </w:rPr>
      </w:pPr>
    </w:p>
    <w:p w:rsidR="00885AFA" w:rsidRPr="00154250" w:rsidRDefault="00885AFA" w:rsidP="008176F5">
      <w:pPr>
        <w:jc w:val="both"/>
        <w:rPr>
          <w:lang w:val="en-GB"/>
        </w:rPr>
      </w:pPr>
    </w:p>
    <w:p w:rsidR="00742B12" w:rsidRPr="00154250" w:rsidRDefault="00742B12" w:rsidP="008176F5">
      <w:pPr>
        <w:jc w:val="both"/>
        <w:rPr>
          <w:lang w:val="en-GB"/>
        </w:rPr>
      </w:pPr>
    </w:p>
    <w:p w:rsidR="00885AFA" w:rsidRPr="00154250" w:rsidRDefault="00885AFA" w:rsidP="00C7238F">
      <w:pPr>
        <w:jc w:val="both"/>
        <w:rPr>
          <w:lang w:val="en-GB"/>
        </w:rPr>
      </w:pPr>
      <w:r w:rsidRPr="00154250">
        <w:rPr>
          <w:lang w:val="en-GB"/>
        </w:rPr>
        <w:t xml:space="preserve">Amman, </w:t>
      </w:r>
      <w:r w:rsidR="00742B12" w:rsidRPr="00154250">
        <w:rPr>
          <w:lang w:val="en-GB"/>
        </w:rPr>
        <w:t>1</w:t>
      </w:r>
      <w:r w:rsidR="00C7238F" w:rsidRPr="00154250">
        <w:rPr>
          <w:lang w:val="en-GB"/>
        </w:rPr>
        <w:t>9</w:t>
      </w:r>
      <w:r w:rsidRPr="00154250">
        <w:rPr>
          <w:lang w:val="en-GB"/>
        </w:rPr>
        <w:t>/</w:t>
      </w:r>
      <w:r w:rsidR="00C7238F" w:rsidRPr="00154250">
        <w:rPr>
          <w:lang w:val="en-GB"/>
        </w:rPr>
        <w:t>02</w:t>
      </w:r>
      <w:r w:rsidR="002808AB" w:rsidRPr="00154250">
        <w:rPr>
          <w:lang w:val="en-GB"/>
        </w:rPr>
        <w:t>/</w:t>
      </w:r>
      <w:r w:rsidRPr="00154250">
        <w:rPr>
          <w:lang w:val="en-GB"/>
        </w:rPr>
        <w:t>201</w:t>
      </w:r>
      <w:r w:rsidR="00C7238F" w:rsidRPr="00154250">
        <w:rPr>
          <w:lang w:val="en-GB"/>
        </w:rPr>
        <w:t>9</w:t>
      </w:r>
      <w:r w:rsidRPr="00154250">
        <w:rPr>
          <w:lang w:val="en-GB"/>
        </w:rPr>
        <w:t xml:space="preserve"> </w:t>
      </w:r>
    </w:p>
    <w:p w:rsidR="003F3C20" w:rsidRPr="00154250" w:rsidRDefault="003F3C20" w:rsidP="008176F5">
      <w:pPr>
        <w:jc w:val="both"/>
        <w:rPr>
          <w:lang w:val="en-GB"/>
        </w:rPr>
      </w:pPr>
      <w:r w:rsidRPr="00154250">
        <w:rPr>
          <w:lang w:val="en-GB"/>
        </w:rPr>
        <w:br w:type="page"/>
      </w:r>
    </w:p>
    <w:p w:rsidR="00D54CF3" w:rsidRPr="00154250" w:rsidRDefault="00D54CF3" w:rsidP="008176F5">
      <w:pPr>
        <w:jc w:val="both"/>
        <w:rPr>
          <w:lang w:val="en-GB"/>
        </w:rPr>
      </w:pPr>
    </w:p>
    <w:sdt>
      <w:sdtPr>
        <w:rPr>
          <w:rFonts w:asciiTheme="minorHAnsi" w:eastAsiaTheme="minorHAnsi" w:hAnsiTheme="minorHAnsi" w:cstheme="minorBidi"/>
          <w:b w:val="0"/>
          <w:bCs w:val="0"/>
          <w:color w:val="auto"/>
          <w:sz w:val="22"/>
          <w:szCs w:val="22"/>
          <w:lang w:val="en-GB" w:eastAsia="en-US"/>
        </w:rPr>
        <w:id w:val="598682946"/>
        <w:docPartObj>
          <w:docPartGallery w:val="Table of Contents"/>
          <w:docPartUnique/>
        </w:docPartObj>
      </w:sdtPr>
      <w:sdtEndPr/>
      <w:sdtContent>
        <w:p w:rsidR="009A5629" w:rsidRPr="00154250" w:rsidRDefault="003F3C20" w:rsidP="00DF22C2">
          <w:pPr>
            <w:pStyle w:val="TOCHeading"/>
            <w:numPr>
              <w:ilvl w:val="0"/>
              <w:numId w:val="0"/>
            </w:numPr>
            <w:ind w:left="432"/>
            <w:jc w:val="both"/>
            <w:rPr>
              <w:lang w:val="en-GB"/>
            </w:rPr>
          </w:pPr>
          <w:r w:rsidRPr="00154250">
            <w:rPr>
              <w:lang w:val="en-GB"/>
            </w:rPr>
            <w:t>Content</w:t>
          </w:r>
        </w:p>
        <w:p w:rsidR="007D68C6" w:rsidRDefault="00E95D02">
          <w:pPr>
            <w:pStyle w:val="TOC1"/>
            <w:tabs>
              <w:tab w:val="right" w:leader="dot" w:pos="9350"/>
            </w:tabs>
            <w:rPr>
              <w:rFonts w:eastAsiaTheme="minorEastAsia"/>
              <w:noProof/>
              <w:lang w:val="en-US"/>
            </w:rPr>
          </w:pPr>
          <w:r w:rsidRPr="00154250">
            <w:rPr>
              <w:lang w:val="en-GB"/>
            </w:rPr>
            <w:fldChar w:fldCharType="begin"/>
          </w:r>
          <w:r w:rsidR="003F3C20" w:rsidRPr="00154250">
            <w:rPr>
              <w:lang w:val="en-GB"/>
            </w:rPr>
            <w:instrText xml:space="preserve"> TOC \o "1-3" \h \z \u </w:instrText>
          </w:r>
          <w:r w:rsidRPr="00154250">
            <w:rPr>
              <w:lang w:val="en-GB"/>
            </w:rPr>
            <w:fldChar w:fldCharType="separate"/>
          </w:r>
          <w:hyperlink w:anchor="_Toc1627839" w:history="1">
            <w:r w:rsidR="007D68C6" w:rsidRPr="009038AD">
              <w:rPr>
                <w:rStyle w:val="Hyperlink"/>
                <w:noProof/>
                <w:lang w:val="en-GB"/>
              </w:rPr>
              <w:t>Introduction</w:t>
            </w:r>
            <w:r w:rsidR="007D68C6">
              <w:rPr>
                <w:noProof/>
                <w:webHidden/>
              </w:rPr>
              <w:tab/>
            </w:r>
            <w:r w:rsidR="007D68C6">
              <w:rPr>
                <w:noProof/>
                <w:webHidden/>
              </w:rPr>
              <w:fldChar w:fldCharType="begin"/>
            </w:r>
            <w:r w:rsidR="007D68C6">
              <w:rPr>
                <w:noProof/>
                <w:webHidden/>
              </w:rPr>
              <w:instrText xml:space="preserve"> PAGEREF _Toc1627839 \h </w:instrText>
            </w:r>
            <w:r w:rsidR="007D68C6">
              <w:rPr>
                <w:noProof/>
                <w:webHidden/>
              </w:rPr>
            </w:r>
            <w:r w:rsidR="007D68C6">
              <w:rPr>
                <w:noProof/>
                <w:webHidden/>
              </w:rPr>
              <w:fldChar w:fldCharType="separate"/>
            </w:r>
            <w:r w:rsidR="007D68C6">
              <w:rPr>
                <w:noProof/>
                <w:webHidden/>
              </w:rPr>
              <w:t>4</w:t>
            </w:r>
            <w:r w:rsidR="007D68C6">
              <w:rPr>
                <w:noProof/>
                <w:webHidden/>
              </w:rPr>
              <w:fldChar w:fldCharType="end"/>
            </w:r>
          </w:hyperlink>
        </w:p>
        <w:p w:rsidR="007D68C6" w:rsidRDefault="00624FEF">
          <w:pPr>
            <w:pStyle w:val="TOC1"/>
            <w:tabs>
              <w:tab w:val="left" w:pos="440"/>
              <w:tab w:val="right" w:leader="dot" w:pos="9350"/>
            </w:tabs>
            <w:rPr>
              <w:rFonts w:eastAsiaTheme="minorEastAsia"/>
              <w:noProof/>
              <w:lang w:val="en-US"/>
            </w:rPr>
          </w:pPr>
          <w:hyperlink w:anchor="_Toc1627840" w:history="1">
            <w:r w:rsidR="007D68C6" w:rsidRPr="009038AD">
              <w:rPr>
                <w:rStyle w:val="Hyperlink"/>
                <w:noProof/>
                <w:lang w:val="en-GB"/>
              </w:rPr>
              <w:t>1</w:t>
            </w:r>
            <w:r w:rsidR="007D68C6">
              <w:rPr>
                <w:rFonts w:eastAsiaTheme="minorEastAsia"/>
                <w:noProof/>
                <w:lang w:val="en-US"/>
              </w:rPr>
              <w:tab/>
            </w:r>
            <w:r w:rsidR="007D68C6" w:rsidRPr="009038AD">
              <w:rPr>
                <w:rStyle w:val="Hyperlink"/>
                <w:noProof/>
                <w:lang w:val="en-GB"/>
              </w:rPr>
              <w:t>Module One: Writing monitoring and evaluation reports</w:t>
            </w:r>
            <w:r w:rsidR="007D68C6">
              <w:rPr>
                <w:noProof/>
                <w:webHidden/>
              </w:rPr>
              <w:tab/>
            </w:r>
            <w:r w:rsidR="007D68C6">
              <w:rPr>
                <w:noProof/>
                <w:webHidden/>
              </w:rPr>
              <w:fldChar w:fldCharType="begin"/>
            </w:r>
            <w:r w:rsidR="007D68C6">
              <w:rPr>
                <w:noProof/>
                <w:webHidden/>
              </w:rPr>
              <w:instrText xml:space="preserve"> PAGEREF _Toc1627840 \h </w:instrText>
            </w:r>
            <w:r w:rsidR="007D68C6">
              <w:rPr>
                <w:noProof/>
                <w:webHidden/>
              </w:rPr>
            </w:r>
            <w:r w:rsidR="007D68C6">
              <w:rPr>
                <w:noProof/>
                <w:webHidden/>
              </w:rPr>
              <w:fldChar w:fldCharType="separate"/>
            </w:r>
            <w:r w:rsidR="007D68C6">
              <w:rPr>
                <w:noProof/>
                <w:webHidden/>
              </w:rPr>
              <w:t>5</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41" w:history="1">
            <w:r w:rsidR="007D68C6" w:rsidRPr="009038AD">
              <w:rPr>
                <w:rStyle w:val="Hyperlink"/>
                <w:noProof/>
                <w:lang w:val="en-GB"/>
              </w:rPr>
              <w:t>1.1</w:t>
            </w:r>
            <w:r w:rsidR="007D68C6">
              <w:rPr>
                <w:rFonts w:eastAsiaTheme="minorEastAsia"/>
                <w:noProof/>
                <w:lang w:val="en-US"/>
              </w:rPr>
              <w:tab/>
            </w:r>
            <w:r w:rsidR="007D68C6" w:rsidRPr="009038AD">
              <w:rPr>
                <w:rStyle w:val="Hyperlink"/>
                <w:noProof/>
                <w:lang w:val="en-GB"/>
              </w:rPr>
              <w:t>Structure of a M&amp;E report</w:t>
            </w:r>
            <w:r w:rsidR="007D68C6">
              <w:rPr>
                <w:noProof/>
                <w:webHidden/>
              </w:rPr>
              <w:tab/>
            </w:r>
            <w:r w:rsidR="007D68C6">
              <w:rPr>
                <w:noProof/>
                <w:webHidden/>
              </w:rPr>
              <w:fldChar w:fldCharType="begin"/>
            </w:r>
            <w:r w:rsidR="007D68C6">
              <w:rPr>
                <w:noProof/>
                <w:webHidden/>
              </w:rPr>
              <w:instrText xml:space="preserve"> PAGEREF _Toc1627841 \h </w:instrText>
            </w:r>
            <w:r w:rsidR="007D68C6">
              <w:rPr>
                <w:noProof/>
                <w:webHidden/>
              </w:rPr>
            </w:r>
            <w:r w:rsidR="007D68C6">
              <w:rPr>
                <w:noProof/>
                <w:webHidden/>
              </w:rPr>
              <w:fldChar w:fldCharType="separate"/>
            </w:r>
            <w:r w:rsidR="007D68C6">
              <w:rPr>
                <w:noProof/>
                <w:webHidden/>
              </w:rPr>
              <w:t>5</w:t>
            </w:r>
            <w:r w:rsidR="007D68C6">
              <w:rPr>
                <w:noProof/>
                <w:webHidden/>
              </w:rPr>
              <w:fldChar w:fldCharType="end"/>
            </w:r>
          </w:hyperlink>
        </w:p>
        <w:p w:rsidR="007D68C6" w:rsidRDefault="00624FEF">
          <w:pPr>
            <w:pStyle w:val="TOC3"/>
            <w:tabs>
              <w:tab w:val="left" w:pos="1320"/>
              <w:tab w:val="right" w:leader="dot" w:pos="9350"/>
            </w:tabs>
            <w:rPr>
              <w:rFonts w:eastAsiaTheme="minorEastAsia"/>
              <w:noProof/>
              <w:lang w:val="en-US"/>
            </w:rPr>
          </w:pPr>
          <w:hyperlink w:anchor="_Toc1627842" w:history="1">
            <w:r w:rsidR="007D68C6" w:rsidRPr="009038AD">
              <w:rPr>
                <w:rStyle w:val="Hyperlink"/>
                <w:noProof/>
                <w:lang w:val="en-GB"/>
              </w:rPr>
              <w:t>1.1.1</w:t>
            </w:r>
            <w:r w:rsidR="007D68C6">
              <w:rPr>
                <w:rFonts w:eastAsiaTheme="minorEastAsia"/>
                <w:noProof/>
                <w:lang w:val="en-US"/>
              </w:rPr>
              <w:tab/>
            </w:r>
            <w:r w:rsidR="007D68C6" w:rsidRPr="009038AD">
              <w:rPr>
                <w:rStyle w:val="Hyperlink"/>
                <w:noProof/>
                <w:lang w:val="en-GB"/>
              </w:rPr>
              <w:t>Content of particular sections</w:t>
            </w:r>
            <w:r w:rsidR="007D68C6">
              <w:rPr>
                <w:noProof/>
                <w:webHidden/>
              </w:rPr>
              <w:tab/>
            </w:r>
            <w:r w:rsidR="007D68C6">
              <w:rPr>
                <w:noProof/>
                <w:webHidden/>
              </w:rPr>
              <w:fldChar w:fldCharType="begin"/>
            </w:r>
            <w:r w:rsidR="007D68C6">
              <w:rPr>
                <w:noProof/>
                <w:webHidden/>
              </w:rPr>
              <w:instrText xml:space="preserve"> PAGEREF _Toc1627842 \h </w:instrText>
            </w:r>
            <w:r w:rsidR="007D68C6">
              <w:rPr>
                <w:noProof/>
                <w:webHidden/>
              </w:rPr>
            </w:r>
            <w:r w:rsidR="007D68C6">
              <w:rPr>
                <w:noProof/>
                <w:webHidden/>
              </w:rPr>
              <w:fldChar w:fldCharType="separate"/>
            </w:r>
            <w:r w:rsidR="007D68C6">
              <w:rPr>
                <w:noProof/>
                <w:webHidden/>
              </w:rPr>
              <w:t>5</w:t>
            </w:r>
            <w:r w:rsidR="007D68C6">
              <w:rPr>
                <w:noProof/>
                <w:webHidden/>
              </w:rPr>
              <w:fldChar w:fldCharType="end"/>
            </w:r>
          </w:hyperlink>
        </w:p>
        <w:p w:rsidR="007D68C6" w:rsidRDefault="00624FEF">
          <w:pPr>
            <w:pStyle w:val="TOC3"/>
            <w:tabs>
              <w:tab w:val="left" w:pos="1320"/>
              <w:tab w:val="right" w:leader="dot" w:pos="9350"/>
            </w:tabs>
            <w:rPr>
              <w:rFonts w:eastAsiaTheme="minorEastAsia"/>
              <w:noProof/>
              <w:lang w:val="en-US"/>
            </w:rPr>
          </w:pPr>
          <w:hyperlink w:anchor="_Toc1627843" w:history="1">
            <w:r w:rsidR="007D68C6" w:rsidRPr="009038AD">
              <w:rPr>
                <w:rStyle w:val="Hyperlink"/>
                <w:noProof/>
                <w:lang w:val="en-GB"/>
              </w:rPr>
              <w:t>1.1.2</w:t>
            </w:r>
            <w:r w:rsidR="007D68C6">
              <w:rPr>
                <w:rFonts w:eastAsiaTheme="minorEastAsia"/>
                <w:noProof/>
                <w:lang w:val="en-US"/>
              </w:rPr>
              <w:tab/>
            </w:r>
            <w:r w:rsidR="007D68C6" w:rsidRPr="009038AD">
              <w:rPr>
                <w:rStyle w:val="Hyperlink"/>
                <w:noProof/>
                <w:lang w:val="en-GB"/>
              </w:rPr>
              <w:t>Paragraph structure and rules of conveying the message supported with evidence</w:t>
            </w:r>
            <w:r w:rsidR="007D68C6">
              <w:rPr>
                <w:noProof/>
                <w:webHidden/>
              </w:rPr>
              <w:tab/>
            </w:r>
            <w:r w:rsidR="007D68C6">
              <w:rPr>
                <w:noProof/>
                <w:webHidden/>
              </w:rPr>
              <w:fldChar w:fldCharType="begin"/>
            </w:r>
            <w:r w:rsidR="007D68C6">
              <w:rPr>
                <w:noProof/>
                <w:webHidden/>
              </w:rPr>
              <w:instrText xml:space="preserve"> PAGEREF _Toc1627843 \h </w:instrText>
            </w:r>
            <w:r w:rsidR="007D68C6">
              <w:rPr>
                <w:noProof/>
                <w:webHidden/>
              </w:rPr>
            </w:r>
            <w:r w:rsidR="007D68C6">
              <w:rPr>
                <w:noProof/>
                <w:webHidden/>
              </w:rPr>
              <w:fldChar w:fldCharType="separate"/>
            </w:r>
            <w:r w:rsidR="007D68C6">
              <w:rPr>
                <w:noProof/>
                <w:webHidden/>
              </w:rPr>
              <w:t>7</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44" w:history="1">
            <w:r w:rsidR="007D68C6" w:rsidRPr="009038AD">
              <w:rPr>
                <w:rStyle w:val="Hyperlink"/>
                <w:noProof/>
                <w:lang w:val="en-GB"/>
              </w:rPr>
              <w:t>1.2</w:t>
            </w:r>
            <w:r w:rsidR="007D68C6">
              <w:rPr>
                <w:rFonts w:eastAsiaTheme="minorEastAsia"/>
                <w:noProof/>
                <w:lang w:val="en-US"/>
              </w:rPr>
              <w:tab/>
            </w:r>
            <w:r w:rsidR="007D68C6" w:rsidRPr="009038AD">
              <w:rPr>
                <w:rStyle w:val="Hyperlink"/>
                <w:noProof/>
                <w:lang w:val="en-GB"/>
              </w:rPr>
              <w:t>Formatting text in MS Word (Styles, References, Navigation through the document)</w:t>
            </w:r>
            <w:r w:rsidR="007D68C6">
              <w:rPr>
                <w:noProof/>
                <w:webHidden/>
              </w:rPr>
              <w:tab/>
            </w:r>
            <w:r w:rsidR="007D68C6">
              <w:rPr>
                <w:noProof/>
                <w:webHidden/>
              </w:rPr>
              <w:fldChar w:fldCharType="begin"/>
            </w:r>
            <w:r w:rsidR="007D68C6">
              <w:rPr>
                <w:noProof/>
                <w:webHidden/>
              </w:rPr>
              <w:instrText xml:space="preserve"> PAGEREF _Toc1627844 \h </w:instrText>
            </w:r>
            <w:r w:rsidR="007D68C6">
              <w:rPr>
                <w:noProof/>
                <w:webHidden/>
              </w:rPr>
            </w:r>
            <w:r w:rsidR="007D68C6">
              <w:rPr>
                <w:noProof/>
                <w:webHidden/>
              </w:rPr>
              <w:fldChar w:fldCharType="separate"/>
            </w:r>
            <w:r w:rsidR="007D68C6">
              <w:rPr>
                <w:noProof/>
                <w:webHidden/>
              </w:rPr>
              <w:t>10</w:t>
            </w:r>
            <w:r w:rsidR="007D68C6">
              <w:rPr>
                <w:noProof/>
                <w:webHidden/>
              </w:rPr>
              <w:fldChar w:fldCharType="end"/>
            </w:r>
          </w:hyperlink>
        </w:p>
        <w:p w:rsidR="007D68C6" w:rsidRDefault="00624FEF">
          <w:pPr>
            <w:pStyle w:val="TOC3"/>
            <w:tabs>
              <w:tab w:val="left" w:pos="1320"/>
              <w:tab w:val="right" w:leader="dot" w:pos="9350"/>
            </w:tabs>
            <w:rPr>
              <w:rFonts w:eastAsiaTheme="minorEastAsia"/>
              <w:noProof/>
              <w:lang w:val="en-US"/>
            </w:rPr>
          </w:pPr>
          <w:hyperlink w:anchor="_Toc1627845" w:history="1">
            <w:r w:rsidR="007D68C6" w:rsidRPr="009038AD">
              <w:rPr>
                <w:rStyle w:val="Hyperlink"/>
                <w:noProof/>
                <w:lang w:val="en-GB"/>
              </w:rPr>
              <w:t>1.2.1</w:t>
            </w:r>
            <w:r w:rsidR="007D68C6">
              <w:rPr>
                <w:rFonts w:eastAsiaTheme="minorEastAsia"/>
                <w:noProof/>
                <w:lang w:val="en-US"/>
              </w:rPr>
              <w:tab/>
            </w:r>
            <w:r w:rsidR="007D68C6" w:rsidRPr="009038AD">
              <w:rPr>
                <w:rStyle w:val="Hyperlink"/>
                <w:noProof/>
                <w:lang w:val="en-GB"/>
              </w:rPr>
              <w:t>Text Styles</w:t>
            </w:r>
            <w:r w:rsidR="007D68C6">
              <w:rPr>
                <w:noProof/>
                <w:webHidden/>
              </w:rPr>
              <w:tab/>
            </w:r>
            <w:r w:rsidR="007D68C6">
              <w:rPr>
                <w:noProof/>
                <w:webHidden/>
              </w:rPr>
              <w:fldChar w:fldCharType="begin"/>
            </w:r>
            <w:r w:rsidR="007D68C6">
              <w:rPr>
                <w:noProof/>
                <w:webHidden/>
              </w:rPr>
              <w:instrText xml:space="preserve"> PAGEREF _Toc1627845 \h </w:instrText>
            </w:r>
            <w:r w:rsidR="007D68C6">
              <w:rPr>
                <w:noProof/>
                <w:webHidden/>
              </w:rPr>
            </w:r>
            <w:r w:rsidR="007D68C6">
              <w:rPr>
                <w:noProof/>
                <w:webHidden/>
              </w:rPr>
              <w:fldChar w:fldCharType="separate"/>
            </w:r>
            <w:r w:rsidR="007D68C6">
              <w:rPr>
                <w:noProof/>
                <w:webHidden/>
              </w:rPr>
              <w:t>10</w:t>
            </w:r>
            <w:r w:rsidR="007D68C6">
              <w:rPr>
                <w:noProof/>
                <w:webHidden/>
              </w:rPr>
              <w:fldChar w:fldCharType="end"/>
            </w:r>
          </w:hyperlink>
        </w:p>
        <w:p w:rsidR="007D68C6" w:rsidRDefault="00624FEF">
          <w:pPr>
            <w:pStyle w:val="TOC1"/>
            <w:tabs>
              <w:tab w:val="left" w:pos="440"/>
              <w:tab w:val="right" w:leader="dot" w:pos="9350"/>
            </w:tabs>
            <w:rPr>
              <w:rFonts w:eastAsiaTheme="minorEastAsia"/>
              <w:noProof/>
              <w:lang w:val="en-US"/>
            </w:rPr>
          </w:pPr>
          <w:hyperlink w:anchor="_Toc1627846" w:history="1">
            <w:r w:rsidR="007D68C6" w:rsidRPr="009038AD">
              <w:rPr>
                <w:rStyle w:val="Hyperlink"/>
                <w:noProof/>
                <w:lang w:val="en-GB"/>
              </w:rPr>
              <w:t>2</w:t>
            </w:r>
            <w:r w:rsidR="007D68C6">
              <w:rPr>
                <w:rFonts w:eastAsiaTheme="minorEastAsia"/>
                <w:noProof/>
                <w:lang w:val="en-US"/>
              </w:rPr>
              <w:tab/>
            </w:r>
            <w:r w:rsidR="007D68C6" w:rsidRPr="009038AD">
              <w:rPr>
                <w:rStyle w:val="Hyperlink"/>
                <w:noProof/>
                <w:lang w:val="en-GB"/>
              </w:rPr>
              <w:t>Module Two: Building and analysing indicators</w:t>
            </w:r>
            <w:r w:rsidR="007D68C6">
              <w:rPr>
                <w:noProof/>
                <w:webHidden/>
              </w:rPr>
              <w:tab/>
            </w:r>
            <w:r w:rsidR="007D68C6">
              <w:rPr>
                <w:noProof/>
                <w:webHidden/>
              </w:rPr>
              <w:fldChar w:fldCharType="begin"/>
            </w:r>
            <w:r w:rsidR="007D68C6">
              <w:rPr>
                <w:noProof/>
                <w:webHidden/>
              </w:rPr>
              <w:instrText xml:space="preserve"> PAGEREF _Toc1627846 \h </w:instrText>
            </w:r>
            <w:r w:rsidR="007D68C6">
              <w:rPr>
                <w:noProof/>
                <w:webHidden/>
              </w:rPr>
            </w:r>
            <w:r w:rsidR="007D68C6">
              <w:rPr>
                <w:noProof/>
                <w:webHidden/>
              </w:rPr>
              <w:fldChar w:fldCharType="separate"/>
            </w:r>
            <w:r w:rsidR="007D68C6">
              <w:rPr>
                <w:noProof/>
                <w:webHidden/>
              </w:rPr>
              <w:t>11</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47" w:history="1">
            <w:r w:rsidR="007D68C6" w:rsidRPr="009038AD">
              <w:rPr>
                <w:rStyle w:val="Hyperlink"/>
                <w:rFonts w:eastAsia="Times New Roman"/>
                <w:noProof/>
                <w:lang w:val="en-GB"/>
              </w:rPr>
              <w:t>2.1</w:t>
            </w:r>
            <w:r w:rsidR="007D68C6">
              <w:rPr>
                <w:rFonts w:eastAsiaTheme="minorEastAsia"/>
                <w:noProof/>
                <w:lang w:val="en-US"/>
              </w:rPr>
              <w:tab/>
            </w:r>
            <w:r w:rsidR="007D68C6" w:rsidRPr="009038AD">
              <w:rPr>
                <w:rStyle w:val="Hyperlink"/>
                <w:rFonts w:eastAsia="Times New Roman"/>
                <w:noProof/>
                <w:lang w:val="en-GB"/>
              </w:rPr>
              <w:t>Designing policy relevant indicators</w:t>
            </w:r>
            <w:r w:rsidR="007D68C6">
              <w:rPr>
                <w:noProof/>
                <w:webHidden/>
              </w:rPr>
              <w:tab/>
            </w:r>
            <w:r w:rsidR="007D68C6">
              <w:rPr>
                <w:noProof/>
                <w:webHidden/>
              </w:rPr>
              <w:fldChar w:fldCharType="begin"/>
            </w:r>
            <w:r w:rsidR="007D68C6">
              <w:rPr>
                <w:noProof/>
                <w:webHidden/>
              </w:rPr>
              <w:instrText xml:space="preserve"> PAGEREF _Toc1627847 \h </w:instrText>
            </w:r>
            <w:r w:rsidR="007D68C6">
              <w:rPr>
                <w:noProof/>
                <w:webHidden/>
              </w:rPr>
            </w:r>
            <w:r w:rsidR="007D68C6">
              <w:rPr>
                <w:noProof/>
                <w:webHidden/>
              </w:rPr>
              <w:fldChar w:fldCharType="separate"/>
            </w:r>
            <w:r w:rsidR="007D68C6">
              <w:rPr>
                <w:noProof/>
                <w:webHidden/>
              </w:rPr>
              <w:t>11</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48" w:history="1">
            <w:r w:rsidR="007D68C6" w:rsidRPr="009038AD">
              <w:rPr>
                <w:rStyle w:val="Hyperlink"/>
                <w:noProof/>
                <w:lang w:val="en-GB"/>
              </w:rPr>
              <w:t>2.2</w:t>
            </w:r>
            <w:r w:rsidR="007D68C6">
              <w:rPr>
                <w:rFonts w:eastAsiaTheme="minorEastAsia"/>
                <w:noProof/>
                <w:lang w:val="en-US"/>
              </w:rPr>
              <w:tab/>
            </w:r>
            <w:r w:rsidR="007D68C6" w:rsidRPr="009038AD">
              <w:rPr>
                <w:rStyle w:val="Hyperlink"/>
                <w:noProof/>
                <w:lang w:val="en-GB"/>
              </w:rPr>
              <w:t>Advanced functions of MS Excel and their use in policy relevant analysis</w:t>
            </w:r>
            <w:r w:rsidR="007D68C6">
              <w:rPr>
                <w:noProof/>
                <w:webHidden/>
              </w:rPr>
              <w:tab/>
            </w:r>
            <w:r w:rsidR="007D68C6">
              <w:rPr>
                <w:noProof/>
                <w:webHidden/>
              </w:rPr>
              <w:fldChar w:fldCharType="begin"/>
            </w:r>
            <w:r w:rsidR="007D68C6">
              <w:rPr>
                <w:noProof/>
                <w:webHidden/>
              </w:rPr>
              <w:instrText xml:space="preserve"> PAGEREF _Toc1627848 \h </w:instrText>
            </w:r>
            <w:r w:rsidR="007D68C6">
              <w:rPr>
                <w:noProof/>
                <w:webHidden/>
              </w:rPr>
            </w:r>
            <w:r w:rsidR="007D68C6">
              <w:rPr>
                <w:noProof/>
                <w:webHidden/>
              </w:rPr>
              <w:fldChar w:fldCharType="separate"/>
            </w:r>
            <w:r w:rsidR="007D68C6">
              <w:rPr>
                <w:noProof/>
                <w:webHidden/>
              </w:rPr>
              <w:t>13</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49" w:history="1">
            <w:r w:rsidR="007D68C6" w:rsidRPr="009038AD">
              <w:rPr>
                <w:rStyle w:val="Hyperlink"/>
                <w:noProof/>
                <w:lang w:val="en-GB"/>
              </w:rPr>
              <w:t>2.3</w:t>
            </w:r>
            <w:r w:rsidR="007D68C6">
              <w:rPr>
                <w:rFonts w:eastAsiaTheme="minorEastAsia"/>
                <w:noProof/>
                <w:lang w:val="en-US"/>
              </w:rPr>
              <w:tab/>
            </w:r>
            <w:r w:rsidR="007D68C6" w:rsidRPr="009038AD">
              <w:rPr>
                <w:rStyle w:val="Hyperlink"/>
                <w:noProof/>
                <w:lang w:val="en-GB"/>
              </w:rPr>
              <w:t>Calculating the weights of indicators</w:t>
            </w:r>
            <w:r w:rsidR="007D68C6">
              <w:rPr>
                <w:noProof/>
                <w:webHidden/>
              </w:rPr>
              <w:tab/>
            </w:r>
            <w:r w:rsidR="007D68C6">
              <w:rPr>
                <w:noProof/>
                <w:webHidden/>
              </w:rPr>
              <w:fldChar w:fldCharType="begin"/>
            </w:r>
            <w:r w:rsidR="007D68C6">
              <w:rPr>
                <w:noProof/>
                <w:webHidden/>
              </w:rPr>
              <w:instrText xml:space="preserve"> PAGEREF _Toc1627849 \h </w:instrText>
            </w:r>
            <w:r w:rsidR="007D68C6">
              <w:rPr>
                <w:noProof/>
                <w:webHidden/>
              </w:rPr>
            </w:r>
            <w:r w:rsidR="007D68C6">
              <w:rPr>
                <w:noProof/>
                <w:webHidden/>
              </w:rPr>
              <w:fldChar w:fldCharType="separate"/>
            </w:r>
            <w:r w:rsidR="007D68C6">
              <w:rPr>
                <w:noProof/>
                <w:webHidden/>
              </w:rPr>
              <w:t>14</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50" w:history="1">
            <w:r w:rsidR="007D68C6" w:rsidRPr="009038AD">
              <w:rPr>
                <w:rStyle w:val="Hyperlink"/>
                <w:noProof/>
                <w:lang w:val="en-GB"/>
              </w:rPr>
              <w:t>2.4</w:t>
            </w:r>
            <w:r w:rsidR="007D68C6">
              <w:rPr>
                <w:rFonts w:eastAsiaTheme="minorEastAsia"/>
                <w:noProof/>
                <w:lang w:val="en-US"/>
              </w:rPr>
              <w:tab/>
            </w:r>
            <w:r w:rsidR="007D68C6" w:rsidRPr="009038AD">
              <w:rPr>
                <w:rStyle w:val="Hyperlink"/>
                <w:noProof/>
                <w:lang w:val="en-GB"/>
              </w:rPr>
              <w:t>Basics of data processing in policy analysis (producing descriptive statistics)</w:t>
            </w:r>
            <w:r w:rsidR="007D68C6">
              <w:rPr>
                <w:noProof/>
                <w:webHidden/>
              </w:rPr>
              <w:tab/>
            </w:r>
            <w:r w:rsidR="007D68C6">
              <w:rPr>
                <w:noProof/>
                <w:webHidden/>
              </w:rPr>
              <w:fldChar w:fldCharType="begin"/>
            </w:r>
            <w:r w:rsidR="007D68C6">
              <w:rPr>
                <w:noProof/>
                <w:webHidden/>
              </w:rPr>
              <w:instrText xml:space="preserve"> PAGEREF _Toc1627850 \h </w:instrText>
            </w:r>
            <w:r w:rsidR="007D68C6">
              <w:rPr>
                <w:noProof/>
                <w:webHidden/>
              </w:rPr>
            </w:r>
            <w:r w:rsidR="007D68C6">
              <w:rPr>
                <w:noProof/>
                <w:webHidden/>
              </w:rPr>
              <w:fldChar w:fldCharType="separate"/>
            </w:r>
            <w:r w:rsidR="007D68C6">
              <w:rPr>
                <w:noProof/>
                <w:webHidden/>
              </w:rPr>
              <w:t>15</w:t>
            </w:r>
            <w:r w:rsidR="007D68C6">
              <w:rPr>
                <w:noProof/>
                <w:webHidden/>
              </w:rPr>
              <w:fldChar w:fldCharType="end"/>
            </w:r>
          </w:hyperlink>
        </w:p>
        <w:p w:rsidR="007D68C6" w:rsidRDefault="00624FEF">
          <w:pPr>
            <w:pStyle w:val="TOC1"/>
            <w:tabs>
              <w:tab w:val="left" w:pos="440"/>
              <w:tab w:val="right" w:leader="dot" w:pos="9350"/>
            </w:tabs>
            <w:rPr>
              <w:rFonts w:eastAsiaTheme="minorEastAsia"/>
              <w:noProof/>
              <w:lang w:val="en-US"/>
            </w:rPr>
          </w:pPr>
          <w:hyperlink w:anchor="_Toc1627851" w:history="1">
            <w:r w:rsidR="007D68C6" w:rsidRPr="009038AD">
              <w:rPr>
                <w:rStyle w:val="Hyperlink"/>
                <w:noProof/>
                <w:lang w:val="en-GB"/>
              </w:rPr>
              <w:t>3</w:t>
            </w:r>
            <w:r w:rsidR="007D68C6">
              <w:rPr>
                <w:rFonts w:eastAsiaTheme="minorEastAsia"/>
                <w:noProof/>
                <w:lang w:val="en-US"/>
              </w:rPr>
              <w:tab/>
            </w:r>
            <w:r w:rsidR="007D68C6" w:rsidRPr="009038AD">
              <w:rPr>
                <w:rStyle w:val="Hyperlink"/>
                <w:noProof/>
                <w:lang w:val="en-GB"/>
              </w:rPr>
              <w:t>Module Three: Preparing impact analysis, monitoring and evaluation</w:t>
            </w:r>
            <w:r w:rsidR="007D68C6">
              <w:rPr>
                <w:noProof/>
                <w:webHidden/>
              </w:rPr>
              <w:tab/>
            </w:r>
            <w:r w:rsidR="007D68C6">
              <w:rPr>
                <w:noProof/>
                <w:webHidden/>
              </w:rPr>
              <w:fldChar w:fldCharType="begin"/>
            </w:r>
            <w:r w:rsidR="007D68C6">
              <w:rPr>
                <w:noProof/>
                <w:webHidden/>
              </w:rPr>
              <w:instrText xml:space="preserve"> PAGEREF _Toc1627851 \h </w:instrText>
            </w:r>
            <w:r w:rsidR="007D68C6">
              <w:rPr>
                <w:noProof/>
                <w:webHidden/>
              </w:rPr>
            </w:r>
            <w:r w:rsidR="007D68C6">
              <w:rPr>
                <w:noProof/>
                <w:webHidden/>
              </w:rPr>
              <w:fldChar w:fldCharType="separate"/>
            </w:r>
            <w:r w:rsidR="007D68C6">
              <w:rPr>
                <w:noProof/>
                <w:webHidden/>
              </w:rPr>
              <w:t>16</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52" w:history="1">
            <w:r w:rsidR="007D68C6" w:rsidRPr="009038AD">
              <w:rPr>
                <w:rStyle w:val="Hyperlink"/>
                <w:noProof/>
                <w:lang w:val="en-GB"/>
              </w:rPr>
              <w:t>3.1</w:t>
            </w:r>
            <w:r w:rsidR="007D68C6">
              <w:rPr>
                <w:rFonts w:eastAsiaTheme="minorEastAsia"/>
                <w:noProof/>
                <w:lang w:val="en-US"/>
              </w:rPr>
              <w:tab/>
            </w:r>
            <w:r w:rsidR="007D68C6" w:rsidRPr="009038AD">
              <w:rPr>
                <w:rStyle w:val="Hyperlink"/>
                <w:noProof/>
                <w:lang w:val="en-GB"/>
              </w:rPr>
              <w:t>Elementary principles of impact evaluation</w:t>
            </w:r>
            <w:r w:rsidR="007D68C6">
              <w:rPr>
                <w:noProof/>
                <w:webHidden/>
              </w:rPr>
              <w:tab/>
            </w:r>
            <w:r w:rsidR="007D68C6">
              <w:rPr>
                <w:noProof/>
                <w:webHidden/>
              </w:rPr>
              <w:fldChar w:fldCharType="begin"/>
            </w:r>
            <w:r w:rsidR="007D68C6">
              <w:rPr>
                <w:noProof/>
                <w:webHidden/>
              </w:rPr>
              <w:instrText xml:space="preserve"> PAGEREF _Toc1627852 \h </w:instrText>
            </w:r>
            <w:r w:rsidR="007D68C6">
              <w:rPr>
                <w:noProof/>
                <w:webHidden/>
              </w:rPr>
            </w:r>
            <w:r w:rsidR="007D68C6">
              <w:rPr>
                <w:noProof/>
                <w:webHidden/>
              </w:rPr>
              <w:fldChar w:fldCharType="separate"/>
            </w:r>
            <w:r w:rsidR="007D68C6">
              <w:rPr>
                <w:noProof/>
                <w:webHidden/>
              </w:rPr>
              <w:t>16</w:t>
            </w:r>
            <w:r w:rsidR="007D68C6">
              <w:rPr>
                <w:noProof/>
                <w:webHidden/>
              </w:rPr>
              <w:fldChar w:fldCharType="end"/>
            </w:r>
          </w:hyperlink>
        </w:p>
        <w:p w:rsidR="007D68C6" w:rsidRDefault="00624FEF">
          <w:pPr>
            <w:pStyle w:val="TOC2"/>
            <w:tabs>
              <w:tab w:val="left" w:pos="880"/>
              <w:tab w:val="right" w:leader="dot" w:pos="9350"/>
            </w:tabs>
            <w:rPr>
              <w:rFonts w:eastAsiaTheme="minorEastAsia"/>
              <w:noProof/>
              <w:lang w:val="en-US"/>
            </w:rPr>
          </w:pPr>
          <w:hyperlink w:anchor="_Toc1627853" w:history="1">
            <w:r w:rsidR="007D68C6" w:rsidRPr="009038AD">
              <w:rPr>
                <w:rStyle w:val="Hyperlink"/>
                <w:noProof/>
                <w:lang w:val="en-GB"/>
              </w:rPr>
              <w:t>3.2</w:t>
            </w:r>
            <w:r w:rsidR="007D68C6">
              <w:rPr>
                <w:rFonts w:eastAsiaTheme="minorEastAsia"/>
                <w:noProof/>
                <w:lang w:val="en-US"/>
              </w:rPr>
              <w:tab/>
            </w:r>
            <w:r w:rsidR="007D68C6" w:rsidRPr="009038AD">
              <w:rPr>
                <w:rStyle w:val="Hyperlink"/>
                <w:noProof/>
                <w:lang w:val="en-GB"/>
              </w:rPr>
              <w:t>Delivering an impact analysis and monitoring</w:t>
            </w:r>
            <w:r w:rsidR="007D68C6">
              <w:rPr>
                <w:noProof/>
                <w:webHidden/>
              </w:rPr>
              <w:tab/>
            </w:r>
            <w:r w:rsidR="007D68C6">
              <w:rPr>
                <w:noProof/>
                <w:webHidden/>
              </w:rPr>
              <w:fldChar w:fldCharType="begin"/>
            </w:r>
            <w:r w:rsidR="007D68C6">
              <w:rPr>
                <w:noProof/>
                <w:webHidden/>
              </w:rPr>
              <w:instrText xml:space="preserve"> PAGEREF _Toc1627853 \h </w:instrText>
            </w:r>
            <w:r w:rsidR="007D68C6">
              <w:rPr>
                <w:noProof/>
                <w:webHidden/>
              </w:rPr>
            </w:r>
            <w:r w:rsidR="007D68C6">
              <w:rPr>
                <w:noProof/>
                <w:webHidden/>
              </w:rPr>
              <w:fldChar w:fldCharType="separate"/>
            </w:r>
            <w:r w:rsidR="007D68C6">
              <w:rPr>
                <w:noProof/>
                <w:webHidden/>
              </w:rPr>
              <w:t>17</w:t>
            </w:r>
            <w:r w:rsidR="007D68C6">
              <w:rPr>
                <w:noProof/>
                <w:webHidden/>
              </w:rPr>
              <w:fldChar w:fldCharType="end"/>
            </w:r>
          </w:hyperlink>
        </w:p>
        <w:p w:rsidR="003F3C20" w:rsidRPr="00154250" w:rsidRDefault="00E95D02" w:rsidP="008176F5">
          <w:pPr>
            <w:jc w:val="both"/>
            <w:rPr>
              <w:lang w:val="en-GB"/>
            </w:rPr>
          </w:pPr>
          <w:r w:rsidRPr="00154250">
            <w:rPr>
              <w:b/>
              <w:bCs/>
              <w:lang w:val="en-GB"/>
            </w:rPr>
            <w:fldChar w:fldCharType="end"/>
          </w:r>
        </w:p>
      </w:sdtContent>
    </w:sdt>
    <w:p w:rsidR="003F3C20" w:rsidRPr="00154250" w:rsidRDefault="003F3C20" w:rsidP="008176F5">
      <w:pPr>
        <w:jc w:val="both"/>
        <w:rPr>
          <w:lang w:val="en-GB"/>
        </w:rPr>
      </w:pPr>
    </w:p>
    <w:p w:rsidR="00F73928" w:rsidRPr="00154250" w:rsidRDefault="00F73928" w:rsidP="008176F5">
      <w:pPr>
        <w:jc w:val="both"/>
        <w:rPr>
          <w:lang w:val="en-GB"/>
        </w:rPr>
      </w:pPr>
    </w:p>
    <w:p w:rsidR="009A5629" w:rsidRPr="00154250" w:rsidRDefault="009A5629" w:rsidP="008176F5">
      <w:pPr>
        <w:jc w:val="both"/>
        <w:rPr>
          <w:b/>
          <w:lang w:val="en-GB"/>
        </w:rPr>
      </w:pPr>
      <w:r w:rsidRPr="00154250">
        <w:rPr>
          <w:b/>
          <w:lang w:val="en-GB"/>
        </w:rPr>
        <w:br w:type="page"/>
      </w:r>
    </w:p>
    <w:p w:rsidR="00CA4F7B" w:rsidRPr="00154250" w:rsidRDefault="00A424CC" w:rsidP="008176F5">
      <w:pPr>
        <w:jc w:val="both"/>
        <w:rPr>
          <w:b/>
          <w:lang w:val="en-GB"/>
        </w:rPr>
      </w:pPr>
      <w:r>
        <w:rPr>
          <w:b/>
          <w:lang w:val="en-GB"/>
        </w:rPr>
        <w:lastRenderedPageBreak/>
        <w:t xml:space="preserve">List of </w:t>
      </w:r>
      <w:r w:rsidR="00CA4F7B" w:rsidRPr="00154250">
        <w:rPr>
          <w:b/>
          <w:lang w:val="en-GB"/>
        </w:rPr>
        <w:t xml:space="preserve">Abbreviations </w:t>
      </w:r>
    </w:p>
    <w:p w:rsidR="00692B19" w:rsidRPr="00154250" w:rsidRDefault="00692B19" w:rsidP="00692B19">
      <w:pPr>
        <w:spacing w:after="120" w:line="240" w:lineRule="auto"/>
        <w:jc w:val="both"/>
        <w:rPr>
          <w:lang w:val="en-GB"/>
        </w:rPr>
      </w:pPr>
      <w:r w:rsidRPr="00154250">
        <w:rPr>
          <w:lang w:val="en-GB"/>
        </w:rPr>
        <w:t>CAQA Centre for Accreditation and Qualification Assessment</w:t>
      </w:r>
    </w:p>
    <w:p w:rsidR="00692B19" w:rsidRPr="00154250" w:rsidRDefault="00692B19" w:rsidP="00EB5A26">
      <w:pPr>
        <w:spacing w:after="120" w:line="240" w:lineRule="auto"/>
        <w:jc w:val="both"/>
        <w:rPr>
          <w:lang w:val="en-GB"/>
        </w:rPr>
      </w:pPr>
      <w:r w:rsidRPr="00154250">
        <w:rPr>
          <w:lang w:val="en-GB"/>
        </w:rPr>
        <w:t>CEDEFOP European Centre for the Development of Vocational Training</w:t>
      </w:r>
    </w:p>
    <w:p w:rsidR="00692B19" w:rsidRPr="00154250" w:rsidRDefault="00692B19" w:rsidP="00692B19">
      <w:pPr>
        <w:spacing w:after="120" w:line="240" w:lineRule="auto"/>
        <w:jc w:val="both"/>
        <w:rPr>
          <w:lang w:val="en-GB"/>
        </w:rPr>
      </w:pPr>
      <w:r w:rsidRPr="00154250">
        <w:rPr>
          <w:lang w:val="en-GB"/>
        </w:rPr>
        <w:t xml:space="preserve">DoS Department of Statistics, Jordan </w:t>
      </w:r>
    </w:p>
    <w:p w:rsidR="00692B19" w:rsidRPr="00154250" w:rsidRDefault="00692B19" w:rsidP="00EB5A26">
      <w:pPr>
        <w:spacing w:after="120" w:line="240" w:lineRule="auto"/>
        <w:jc w:val="both"/>
        <w:rPr>
          <w:lang w:val="en-GB"/>
        </w:rPr>
      </w:pPr>
      <w:r w:rsidRPr="00154250">
        <w:rPr>
          <w:lang w:val="en-GB"/>
        </w:rPr>
        <w:t>ETF European Training Fund</w:t>
      </w:r>
    </w:p>
    <w:p w:rsidR="00D4527C" w:rsidRPr="00154250" w:rsidRDefault="00D4527C" w:rsidP="00EB5A26">
      <w:pPr>
        <w:spacing w:after="120" w:line="240" w:lineRule="auto"/>
        <w:jc w:val="both"/>
        <w:rPr>
          <w:lang w:val="en-GB"/>
        </w:rPr>
      </w:pPr>
      <w:r w:rsidRPr="00154250">
        <w:rPr>
          <w:lang w:val="en-GB"/>
        </w:rPr>
        <w:t>E</w:t>
      </w:r>
      <w:r w:rsidR="00F0096B" w:rsidRPr="00154250">
        <w:rPr>
          <w:lang w:val="en-GB"/>
        </w:rPr>
        <w:t>-</w:t>
      </w:r>
      <w:r w:rsidRPr="00154250">
        <w:rPr>
          <w:lang w:val="en-GB"/>
        </w:rPr>
        <w:t>TVET Employment,</w:t>
      </w:r>
      <w:r w:rsidR="003F2391" w:rsidRPr="00154250">
        <w:rPr>
          <w:lang w:val="en-GB"/>
        </w:rPr>
        <w:t xml:space="preserve"> </w:t>
      </w:r>
      <w:r w:rsidRPr="00154250">
        <w:rPr>
          <w:lang w:val="en-GB"/>
        </w:rPr>
        <w:t>Technical and Vocational Education and Training</w:t>
      </w:r>
    </w:p>
    <w:p w:rsidR="00CA4F7B" w:rsidRPr="00154250" w:rsidRDefault="00CA4F7B" w:rsidP="00EB5A26">
      <w:pPr>
        <w:spacing w:after="120" w:line="240" w:lineRule="auto"/>
        <w:jc w:val="both"/>
        <w:rPr>
          <w:lang w:val="en-GB"/>
        </w:rPr>
      </w:pPr>
      <w:r w:rsidRPr="00154250">
        <w:rPr>
          <w:lang w:val="en-GB"/>
        </w:rPr>
        <w:t xml:space="preserve">EU European Union </w:t>
      </w:r>
    </w:p>
    <w:p w:rsidR="00CA4F7B" w:rsidRPr="00154250" w:rsidRDefault="00CA4F7B" w:rsidP="00EB5A26">
      <w:pPr>
        <w:spacing w:after="120" w:line="240" w:lineRule="auto"/>
        <w:jc w:val="both"/>
        <w:rPr>
          <w:lang w:val="en-GB"/>
        </w:rPr>
      </w:pPr>
      <w:r w:rsidRPr="00154250">
        <w:rPr>
          <w:lang w:val="en-GB"/>
        </w:rPr>
        <w:t>GIZ  Die Deutsche Gesellschaft für Internationale Zusammenarbeit (GIZ) GmbH</w:t>
      </w:r>
    </w:p>
    <w:p w:rsidR="00692B19" w:rsidRPr="00154250" w:rsidRDefault="00692B19" w:rsidP="002F0A5C">
      <w:pPr>
        <w:spacing w:after="120" w:line="240" w:lineRule="auto"/>
        <w:jc w:val="both"/>
        <w:rPr>
          <w:lang w:val="en-GB"/>
        </w:rPr>
      </w:pPr>
      <w:r w:rsidRPr="00154250">
        <w:rPr>
          <w:lang w:val="en-GB"/>
        </w:rPr>
        <w:t>ILO International Labour Office</w:t>
      </w:r>
    </w:p>
    <w:p w:rsidR="002F0A5C" w:rsidRPr="00154250" w:rsidRDefault="002F0A5C" w:rsidP="002F0A5C">
      <w:pPr>
        <w:spacing w:after="120" w:line="240" w:lineRule="auto"/>
        <w:jc w:val="both"/>
        <w:rPr>
          <w:lang w:val="en-GB"/>
        </w:rPr>
      </w:pPr>
      <w:r w:rsidRPr="00154250">
        <w:rPr>
          <w:lang w:val="en-GB"/>
        </w:rPr>
        <w:t>MoE Ministry of Education</w:t>
      </w:r>
    </w:p>
    <w:p w:rsidR="002F0A5C" w:rsidRPr="00154250" w:rsidRDefault="002F0A5C" w:rsidP="002F0A5C">
      <w:pPr>
        <w:spacing w:after="120" w:line="240" w:lineRule="auto"/>
        <w:jc w:val="both"/>
        <w:rPr>
          <w:lang w:val="en-GB"/>
        </w:rPr>
      </w:pPr>
      <w:r w:rsidRPr="00154250">
        <w:rPr>
          <w:lang w:val="en-GB"/>
        </w:rPr>
        <w:t>MoHE Ministry of Higher Education</w:t>
      </w:r>
    </w:p>
    <w:p w:rsidR="00CA4F7B" w:rsidRPr="00154250" w:rsidRDefault="00CA4F7B" w:rsidP="00EB5A26">
      <w:pPr>
        <w:spacing w:after="120" w:line="240" w:lineRule="auto"/>
        <w:jc w:val="both"/>
        <w:rPr>
          <w:lang w:val="en-GB"/>
        </w:rPr>
      </w:pPr>
      <w:r w:rsidRPr="00154250">
        <w:rPr>
          <w:lang w:val="en-GB"/>
        </w:rPr>
        <w:t xml:space="preserve">MoL Ministry of Labour </w:t>
      </w:r>
    </w:p>
    <w:p w:rsidR="002F0A5C" w:rsidRPr="00154250" w:rsidRDefault="005C7282" w:rsidP="00EB5A26">
      <w:pPr>
        <w:spacing w:after="120" w:line="240" w:lineRule="auto"/>
        <w:jc w:val="both"/>
        <w:rPr>
          <w:lang w:val="en-GB"/>
        </w:rPr>
      </w:pPr>
      <w:r w:rsidRPr="00154250">
        <w:rPr>
          <w:lang w:val="en-GB"/>
        </w:rPr>
        <w:t xml:space="preserve">MoP Ministry for Planning </w:t>
      </w:r>
    </w:p>
    <w:p w:rsidR="0091192D" w:rsidRPr="00154250" w:rsidRDefault="0091192D" w:rsidP="0091192D">
      <w:pPr>
        <w:spacing w:after="120" w:line="240" w:lineRule="auto"/>
        <w:jc w:val="both"/>
        <w:rPr>
          <w:lang w:val="en-GB"/>
        </w:rPr>
      </w:pPr>
      <w:r w:rsidRPr="00154250">
        <w:rPr>
          <w:lang w:val="en-GB"/>
        </w:rPr>
        <w:t xml:space="preserve">NAF National Aid Fund </w:t>
      </w:r>
    </w:p>
    <w:p w:rsidR="0091192D" w:rsidRPr="00154250" w:rsidRDefault="0091192D" w:rsidP="0091192D">
      <w:pPr>
        <w:spacing w:after="120" w:line="240" w:lineRule="auto"/>
        <w:jc w:val="both"/>
        <w:rPr>
          <w:lang w:val="en-GB"/>
        </w:rPr>
      </w:pPr>
      <w:r w:rsidRPr="00154250">
        <w:rPr>
          <w:lang w:val="en-GB"/>
        </w:rPr>
        <w:t xml:space="preserve">NEES National Employment System under the MoL (IT system) </w:t>
      </w:r>
    </w:p>
    <w:p w:rsidR="0091192D" w:rsidRPr="00154250" w:rsidRDefault="0091192D" w:rsidP="0091192D">
      <w:pPr>
        <w:spacing w:after="120" w:line="240" w:lineRule="auto"/>
        <w:jc w:val="both"/>
        <w:rPr>
          <w:lang w:val="en-GB"/>
        </w:rPr>
      </w:pPr>
      <w:r w:rsidRPr="00154250">
        <w:rPr>
          <w:lang w:val="en-GB"/>
        </w:rPr>
        <w:t xml:space="preserve">NETC National Employment and Training </w:t>
      </w:r>
      <w:r w:rsidR="00F12103" w:rsidRPr="00154250">
        <w:rPr>
          <w:lang w:val="en-GB"/>
        </w:rPr>
        <w:t>Corporation</w:t>
      </w:r>
    </w:p>
    <w:p w:rsidR="008B29B5" w:rsidRPr="00154250" w:rsidRDefault="008B29B5" w:rsidP="0091192D">
      <w:pPr>
        <w:spacing w:after="120" w:line="240" w:lineRule="auto"/>
        <w:jc w:val="both"/>
        <w:rPr>
          <w:lang w:val="en-GB"/>
        </w:rPr>
      </w:pPr>
      <w:r w:rsidRPr="00154250">
        <w:rPr>
          <w:lang w:val="en-GB"/>
        </w:rPr>
        <w:t>SSC Social Security Corporation</w:t>
      </w:r>
    </w:p>
    <w:p w:rsidR="0091192D" w:rsidRPr="00154250" w:rsidRDefault="0091192D" w:rsidP="0091192D">
      <w:pPr>
        <w:tabs>
          <w:tab w:val="left" w:pos="3450"/>
        </w:tabs>
        <w:spacing w:after="120" w:line="240" w:lineRule="auto"/>
        <w:jc w:val="both"/>
        <w:rPr>
          <w:lang w:val="en-GB"/>
        </w:rPr>
      </w:pPr>
      <w:r w:rsidRPr="00154250">
        <w:rPr>
          <w:lang w:val="en-GB"/>
        </w:rPr>
        <w:t>TSG-ES Tracer Studies of Graduates and Employment Satisfaction</w:t>
      </w:r>
    </w:p>
    <w:p w:rsidR="0091192D" w:rsidRPr="00154250" w:rsidRDefault="0091192D" w:rsidP="0091192D">
      <w:pPr>
        <w:tabs>
          <w:tab w:val="left" w:pos="3450"/>
        </w:tabs>
        <w:spacing w:after="120" w:line="240" w:lineRule="auto"/>
        <w:jc w:val="both"/>
        <w:rPr>
          <w:lang w:val="en-GB"/>
        </w:rPr>
      </w:pPr>
      <w:r w:rsidRPr="00154250">
        <w:rPr>
          <w:lang w:val="en-GB"/>
        </w:rPr>
        <w:t>TVET Technical and Vocational Education and Training</w:t>
      </w:r>
    </w:p>
    <w:p w:rsidR="00BC7895" w:rsidRPr="00154250" w:rsidRDefault="00BC7895" w:rsidP="00EB5A26">
      <w:pPr>
        <w:tabs>
          <w:tab w:val="left" w:pos="3450"/>
        </w:tabs>
        <w:spacing w:after="120" w:line="240" w:lineRule="auto"/>
        <w:jc w:val="both"/>
        <w:rPr>
          <w:lang w:val="en-GB"/>
        </w:rPr>
      </w:pPr>
      <w:r w:rsidRPr="00154250">
        <w:rPr>
          <w:lang w:val="en-GB"/>
        </w:rPr>
        <w:t xml:space="preserve">VET Vocational Education and Training </w:t>
      </w:r>
    </w:p>
    <w:p w:rsidR="001E492A" w:rsidRPr="00154250" w:rsidRDefault="001E492A" w:rsidP="00EB5A26">
      <w:pPr>
        <w:tabs>
          <w:tab w:val="left" w:pos="3450"/>
        </w:tabs>
        <w:spacing w:after="120" w:line="240" w:lineRule="auto"/>
        <w:jc w:val="both"/>
        <w:rPr>
          <w:lang w:val="en-GB"/>
        </w:rPr>
      </w:pPr>
      <w:r w:rsidRPr="00154250">
        <w:rPr>
          <w:lang w:val="en-GB"/>
        </w:rPr>
        <w:t>VTC Vocational Training Corporation</w:t>
      </w:r>
    </w:p>
    <w:p w:rsidR="00F86343" w:rsidRPr="00154250" w:rsidRDefault="004C0955" w:rsidP="00EB5A26">
      <w:pPr>
        <w:tabs>
          <w:tab w:val="left" w:pos="3450"/>
        </w:tabs>
        <w:spacing w:after="120" w:line="240" w:lineRule="auto"/>
        <w:jc w:val="both"/>
        <w:rPr>
          <w:lang w:val="en-GB"/>
        </w:rPr>
      </w:pPr>
      <w:r w:rsidRPr="00154250">
        <w:rPr>
          <w:lang w:val="en-GB"/>
        </w:rPr>
        <w:t xml:space="preserve">WB World Bank </w:t>
      </w:r>
    </w:p>
    <w:p w:rsidR="009A5629" w:rsidRPr="00154250" w:rsidRDefault="009A5629" w:rsidP="00EB5A26">
      <w:pPr>
        <w:tabs>
          <w:tab w:val="left" w:pos="3450"/>
        </w:tabs>
        <w:spacing w:after="120" w:line="240" w:lineRule="auto"/>
        <w:jc w:val="both"/>
        <w:rPr>
          <w:lang w:val="en-GB"/>
        </w:rPr>
      </w:pPr>
      <w:r w:rsidRPr="00154250">
        <w:rPr>
          <w:lang w:val="en-GB"/>
        </w:rPr>
        <w:br w:type="page"/>
      </w:r>
    </w:p>
    <w:p w:rsidR="00B2162E" w:rsidRPr="00154250" w:rsidRDefault="00B2162E" w:rsidP="00B2162E">
      <w:pPr>
        <w:rPr>
          <w:lang w:val="en-GB"/>
        </w:rPr>
      </w:pPr>
    </w:p>
    <w:p w:rsidR="00F73928" w:rsidRPr="00154250" w:rsidRDefault="00F0096B" w:rsidP="0082744F">
      <w:pPr>
        <w:pStyle w:val="Heading1"/>
        <w:numPr>
          <w:ilvl w:val="0"/>
          <w:numId w:val="0"/>
        </w:numPr>
        <w:ind w:left="432"/>
        <w:rPr>
          <w:lang w:val="en-GB"/>
        </w:rPr>
      </w:pPr>
      <w:bookmarkStart w:id="7" w:name="_Toc1627839"/>
      <w:r w:rsidRPr="00154250">
        <w:rPr>
          <w:lang w:val="en-GB"/>
        </w:rPr>
        <w:t>Introduction</w:t>
      </w:r>
      <w:bookmarkEnd w:id="7"/>
    </w:p>
    <w:p w:rsidR="00EB5A26" w:rsidRPr="00154250" w:rsidRDefault="00EB5A26" w:rsidP="008176F5">
      <w:pPr>
        <w:jc w:val="both"/>
        <w:rPr>
          <w:lang w:val="en-GB"/>
        </w:rPr>
      </w:pPr>
    </w:p>
    <w:p w:rsidR="00C7238F" w:rsidRPr="00154250" w:rsidRDefault="00C7238F" w:rsidP="00C7238F">
      <w:pPr>
        <w:rPr>
          <w:lang w:val="en-GB"/>
        </w:rPr>
      </w:pPr>
      <w:r w:rsidRPr="00154250">
        <w:rPr>
          <w:lang w:val="en-GB"/>
        </w:rPr>
        <w:t xml:space="preserve">This material serves as a support for the training sessions delivered to the employees of the Monitoring and Evaluation Unit of the ETVET Secretariat in Jordan. The training was tailored for the needs of the participants based on previous mentoring and coaching sessions. It was developed under Activity 1.4.11: </w:t>
      </w:r>
      <w:r w:rsidRPr="00154250">
        <w:rPr>
          <w:i/>
          <w:iCs/>
          <w:lang w:val="en-GB"/>
        </w:rPr>
        <w:t>Provide inputs focused on statistics and elaboration of statistics reports for the Internal Information System in the E-TVET Secretariat to follow up the labour market access of the skills trained under the programme</w:t>
      </w:r>
      <w:r w:rsidRPr="00154250">
        <w:rPr>
          <w:lang w:val="en-GB"/>
        </w:rPr>
        <w:t xml:space="preserve"> of the TA Project Technical Assistance to the Skills for Employment and Social Inclusion Programme for Jordan. </w:t>
      </w:r>
    </w:p>
    <w:p w:rsidR="00C7238F" w:rsidRPr="00154250" w:rsidRDefault="00C7238F" w:rsidP="00C7238F">
      <w:pPr>
        <w:rPr>
          <w:lang w:val="en-GB"/>
        </w:rPr>
      </w:pPr>
      <w:r w:rsidRPr="00154250">
        <w:rPr>
          <w:lang w:val="en-GB"/>
        </w:rPr>
        <w:t xml:space="preserve">The training is organized into three Modules: </w:t>
      </w:r>
    </w:p>
    <w:p w:rsidR="00C7238F" w:rsidRPr="00154250" w:rsidRDefault="00C7238F" w:rsidP="00C7238F">
      <w:pPr>
        <w:pStyle w:val="ListParagraph"/>
        <w:numPr>
          <w:ilvl w:val="0"/>
          <w:numId w:val="36"/>
        </w:numPr>
        <w:rPr>
          <w:lang w:val="en-GB"/>
        </w:rPr>
      </w:pPr>
      <w:r w:rsidRPr="00154250">
        <w:rPr>
          <w:lang w:val="en-GB"/>
        </w:rPr>
        <w:t>Module 1: Writing monitoring and evaluation reports</w:t>
      </w:r>
    </w:p>
    <w:p w:rsidR="00C7238F" w:rsidRPr="00154250" w:rsidRDefault="00C7238F" w:rsidP="00C7238F">
      <w:pPr>
        <w:pStyle w:val="ListParagraph"/>
        <w:numPr>
          <w:ilvl w:val="0"/>
          <w:numId w:val="36"/>
        </w:numPr>
        <w:rPr>
          <w:lang w:val="en-GB"/>
        </w:rPr>
      </w:pPr>
      <w:r w:rsidRPr="00154250">
        <w:rPr>
          <w:lang w:val="en-GB"/>
        </w:rPr>
        <w:t>Module 2: Building and analysing indicators</w:t>
      </w:r>
    </w:p>
    <w:p w:rsidR="00C7238F" w:rsidRPr="00154250" w:rsidRDefault="00C7238F" w:rsidP="00C7238F">
      <w:pPr>
        <w:pStyle w:val="ListParagraph"/>
        <w:numPr>
          <w:ilvl w:val="0"/>
          <w:numId w:val="36"/>
        </w:numPr>
        <w:rPr>
          <w:lang w:val="en-GB"/>
        </w:rPr>
      </w:pPr>
      <w:r w:rsidRPr="00154250">
        <w:rPr>
          <w:lang w:val="en-GB"/>
        </w:rPr>
        <w:t xml:space="preserve">Module 3: Preparing impact analysis, monitoring and evaluation </w:t>
      </w:r>
    </w:p>
    <w:p w:rsidR="00C7238F" w:rsidRPr="00154250" w:rsidRDefault="00C7238F" w:rsidP="00C7238F">
      <w:pPr>
        <w:rPr>
          <w:lang w:val="en-GB"/>
        </w:rPr>
      </w:pPr>
      <w:r w:rsidRPr="00154250">
        <w:rPr>
          <w:lang w:val="en-GB"/>
        </w:rPr>
        <w:t xml:space="preserve">This document includes examples used in the training sessions. </w:t>
      </w:r>
    </w:p>
    <w:p w:rsidR="00C7238F" w:rsidRPr="00154250" w:rsidRDefault="00C7238F" w:rsidP="00C7238F">
      <w:pPr>
        <w:rPr>
          <w:lang w:val="en-GB"/>
        </w:rPr>
      </w:pPr>
    </w:p>
    <w:p w:rsidR="00C7238F" w:rsidRPr="00154250" w:rsidRDefault="00C7238F" w:rsidP="00C7238F">
      <w:pPr>
        <w:rPr>
          <w:lang w:val="en-GB"/>
        </w:rPr>
      </w:pPr>
      <w:r w:rsidRPr="00154250">
        <w:rPr>
          <w:lang w:val="en-GB"/>
        </w:rPr>
        <w:br w:type="page"/>
      </w:r>
    </w:p>
    <w:p w:rsidR="00C7238F" w:rsidRPr="00154250" w:rsidRDefault="0082744F" w:rsidP="0082744F">
      <w:pPr>
        <w:pStyle w:val="Heading1"/>
        <w:rPr>
          <w:lang w:val="en-GB"/>
        </w:rPr>
      </w:pPr>
      <w:bookmarkStart w:id="8" w:name="_Toc1455219"/>
      <w:bookmarkStart w:id="9" w:name="_Toc1627840"/>
      <w:r w:rsidRPr="00154250">
        <w:rPr>
          <w:lang w:val="en-GB"/>
        </w:rPr>
        <w:lastRenderedPageBreak/>
        <w:t>Module</w:t>
      </w:r>
      <w:r w:rsidR="00372186">
        <w:rPr>
          <w:lang w:val="en-GB"/>
        </w:rPr>
        <w:t xml:space="preserve"> One</w:t>
      </w:r>
      <w:r w:rsidRPr="00154250">
        <w:rPr>
          <w:lang w:val="en-GB"/>
        </w:rPr>
        <w:t xml:space="preserve">: </w:t>
      </w:r>
      <w:r w:rsidR="00C7238F" w:rsidRPr="00154250">
        <w:rPr>
          <w:lang w:val="en-GB"/>
        </w:rPr>
        <w:t>Writing monitoring and evaluation reports</w:t>
      </w:r>
      <w:bookmarkEnd w:id="8"/>
      <w:bookmarkEnd w:id="9"/>
    </w:p>
    <w:p w:rsidR="00C7238F" w:rsidRPr="00154250" w:rsidRDefault="00C7238F" w:rsidP="00C7238F">
      <w:pPr>
        <w:jc w:val="both"/>
        <w:rPr>
          <w:lang w:val="en-GB"/>
        </w:rPr>
      </w:pPr>
      <w:r w:rsidRPr="00154250">
        <w:rPr>
          <w:lang w:val="en-GB"/>
        </w:rPr>
        <w:t>Policy monitoring and evaluation (</w:t>
      </w:r>
      <w:r w:rsidRPr="00154250">
        <w:rPr>
          <w:rFonts w:ascii="Times New Roman" w:eastAsia="Times New Roman" w:hAnsi="Times New Roman" w:cs="Times New Roman"/>
          <w:szCs w:val="20"/>
          <w:lang w:val="en-GB" w:eastAsia="sk-SK"/>
        </w:rPr>
        <w:t>M&amp;E</w:t>
      </w:r>
      <w:r w:rsidRPr="00154250">
        <w:rPr>
          <w:lang w:val="en-GB"/>
        </w:rPr>
        <w:t xml:space="preserve">) reports are targeting stakeholders active in the area of policy-making, monitoring and evaluation; such as: i) high level decision makers; ii) the middle level staff of public institutions involved in policy creation or implementation; iii) beneficiaries (organisations receiving public funding); or iv) donors (potential funders). All these potential readers are looking for slightly different type of information. Keeping the reports as structured as possible, therefore, saves the time potential reader needs to spent in finding and extracting the information (s)he is looking for. Keeping some general, elementary rules of related to the structure contributes significantly to the readability and, thus, usefulness of the reports. </w:t>
      </w:r>
    </w:p>
    <w:p w:rsidR="00C7238F" w:rsidRPr="00154250" w:rsidRDefault="00C7238F" w:rsidP="00C7238F">
      <w:pPr>
        <w:jc w:val="both"/>
        <w:rPr>
          <w:lang w:val="en-GB"/>
        </w:rPr>
      </w:pPr>
      <w:r w:rsidRPr="00154250">
        <w:rPr>
          <w:lang w:val="en-GB"/>
        </w:rPr>
        <w:t xml:space="preserve">A universally applied rule in writing M&amp;E reports is to maximize the support of the information provided with empirical evidence (data, documentation, etc.).  </w:t>
      </w:r>
    </w:p>
    <w:p w:rsidR="00C7238F" w:rsidRPr="00154250" w:rsidRDefault="00C7238F" w:rsidP="00C7238F">
      <w:pPr>
        <w:jc w:val="both"/>
        <w:rPr>
          <w:lang w:val="en-GB"/>
        </w:rPr>
      </w:pPr>
      <w:r w:rsidRPr="00154250">
        <w:rPr>
          <w:lang w:val="en-GB"/>
        </w:rPr>
        <w:t>The inclusion of the information included in the reporting (and supported with evidence), should be subject to assessment considering the economy of the readers´ time and effort and the overall focus of the particular report.</w:t>
      </w:r>
    </w:p>
    <w:p w:rsidR="00C7238F" w:rsidRPr="00154250" w:rsidRDefault="00C7238F" w:rsidP="00C7238F">
      <w:pPr>
        <w:jc w:val="both"/>
        <w:rPr>
          <w:lang w:val="en-GB"/>
        </w:rPr>
      </w:pPr>
      <w:r w:rsidRPr="00154250">
        <w:rPr>
          <w:lang w:val="en-GB"/>
        </w:rPr>
        <w:t xml:space="preserve">The focus of policy M&amp;E reports is usually defined by the strategic policy (document) being monitored, respectively evaluated.   </w:t>
      </w:r>
    </w:p>
    <w:p w:rsidR="00C7238F" w:rsidRPr="00154250" w:rsidRDefault="00C7238F" w:rsidP="00C7238F">
      <w:pPr>
        <w:pStyle w:val="Heading2"/>
        <w:rPr>
          <w:lang w:val="en-GB"/>
        </w:rPr>
      </w:pPr>
      <w:bookmarkStart w:id="10" w:name="_Toc1455220"/>
      <w:bookmarkStart w:id="11" w:name="_Toc1627841"/>
      <w:r w:rsidRPr="00154250">
        <w:rPr>
          <w:lang w:val="en-GB"/>
        </w:rPr>
        <w:t>Structure of a M&amp;E report</w:t>
      </w:r>
      <w:bookmarkEnd w:id="10"/>
      <w:bookmarkEnd w:id="11"/>
      <w:r w:rsidRPr="00154250">
        <w:rPr>
          <w:lang w:val="en-GB"/>
        </w:rPr>
        <w:t xml:space="preserve"> </w:t>
      </w:r>
    </w:p>
    <w:p w:rsidR="00C7238F" w:rsidRPr="00154250" w:rsidRDefault="00C7238F" w:rsidP="00C7238F">
      <w:pPr>
        <w:rPr>
          <w:rFonts w:ascii="Times New Roman" w:eastAsia="Times New Roman" w:hAnsi="Times New Roman" w:cs="Times New Roman"/>
          <w:szCs w:val="20"/>
          <w:lang w:val="en-GB" w:eastAsia="sk-SK"/>
        </w:rPr>
      </w:pPr>
      <w:r w:rsidRPr="00154250">
        <w:rPr>
          <w:lang w:val="en-GB"/>
        </w:rPr>
        <w:t xml:space="preserve">The usual structure of </w:t>
      </w:r>
      <w:r w:rsidRPr="00154250">
        <w:rPr>
          <w:rFonts w:ascii="Times New Roman" w:eastAsia="Times New Roman" w:hAnsi="Times New Roman" w:cs="Times New Roman"/>
          <w:szCs w:val="20"/>
          <w:lang w:val="en-GB" w:eastAsia="sk-SK"/>
        </w:rPr>
        <w:t xml:space="preserve">M&amp;E reports includes the following sections: </w:t>
      </w:r>
    </w:p>
    <w:p w:rsidR="00C7238F" w:rsidRPr="00154250" w:rsidRDefault="00C7238F" w:rsidP="00C7238F">
      <w:pPr>
        <w:pStyle w:val="ListParagraph"/>
        <w:numPr>
          <w:ilvl w:val="0"/>
          <w:numId w:val="37"/>
        </w:numPr>
        <w:spacing w:after="120"/>
        <w:rPr>
          <w:lang w:val="en-GB"/>
        </w:rPr>
      </w:pPr>
      <w:r w:rsidRPr="00154250">
        <w:rPr>
          <w:lang w:val="en-GB"/>
        </w:rPr>
        <w:t>Content</w:t>
      </w:r>
    </w:p>
    <w:p w:rsidR="00C7238F" w:rsidRPr="00154250" w:rsidRDefault="00C7238F" w:rsidP="00C7238F">
      <w:pPr>
        <w:pStyle w:val="ListParagraph"/>
        <w:numPr>
          <w:ilvl w:val="0"/>
          <w:numId w:val="37"/>
        </w:numPr>
        <w:spacing w:after="120"/>
        <w:rPr>
          <w:lang w:val="en-GB"/>
        </w:rPr>
      </w:pPr>
      <w:r w:rsidRPr="00154250">
        <w:rPr>
          <w:lang w:val="en-GB"/>
        </w:rPr>
        <w:t>Lists of figures and tables</w:t>
      </w:r>
    </w:p>
    <w:p w:rsidR="00C7238F" w:rsidRPr="00154250" w:rsidRDefault="00C7238F" w:rsidP="00C7238F">
      <w:pPr>
        <w:pStyle w:val="ListParagraph"/>
        <w:numPr>
          <w:ilvl w:val="0"/>
          <w:numId w:val="37"/>
        </w:numPr>
        <w:spacing w:after="120"/>
        <w:rPr>
          <w:lang w:val="en-GB"/>
        </w:rPr>
      </w:pPr>
      <w:r w:rsidRPr="00154250">
        <w:rPr>
          <w:lang w:val="en-GB"/>
        </w:rPr>
        <w:t>Executive summary</w:t>
      </w:r>
    </w:p>
    <w:p w:rsidR="00C7238F" w:rsidRPr="00154250" w:rsidRDefault="00C7238F" w:rsidP="00C7238F">
      <w:pPr>
        <w:pStyle w:val="ListParagraph"/>
        <w:numPr>
          <w:ilvl w:val="0"/>
          <w:numId w:val="37"/>
        </w:numPr>
        <w:spacing w:after="120"/>
        <w:rPr>
          <w:lang w:val="en-GB"/>
        </w:rPr>
      </w:pPr>
      <w:r w:rsidRPr="00154250">
        <w:rPr>
          <w:lang w:val="en-GB"/>
        </w:rPr>
        <w:t>Introduction</w:t>
      </w:r>
    </w:p>
    <w:p w:rsidR="00C7238F" w:rsidRPr="00154250" w:rsidRDefault="00C7238F" w:rsidP="00C7238F">
      <w:pPr>
        <w:pStyle w:val="ListParagraph"/>
        <w:numPr>
          <w:ilvl w:val="0"/>
          <w:numId w:val="37"/>
        </w:numPr>
        <w:spacing w:after="120"/>
        <w:rPr>
          <w:lang w:val="en-GB"/>
        </w:rPr>
      </w:pPr>
      <w:r w:rsidRPr="00154250">
        <w:rPr>
          <w:lang w:val="en-GB"/>
        </w:rPr>
        <w:t>Content related chapters</w:t>
      </w:r>
    </w:p>
    <w:p w:rsidR="00C7238F" w:rsidRPr="00154250" w:rsidRDefault="00C7238F" w:rsidP="00C7238F">
      <w:pPr>
        <w:pStyle w:val="ListParagraph"/>
        <w:numPr>
          <w:ilvl w:val="0"/>
          <w:numId w:val="37"/>
        </w:numPr>
        <w:spacing w:after="120"/>
        <w:rPr>
          <w:lang w:val="en-GB"/>
        </w:rPr>
      </w:pPr>
      <w:r w:rsidRPr="00154250">
        <w:rPr>
          <w:lang w:val="en-GB"/>
        </w:rPr>
        <w:t xml:space="preserve">Conclusions </w:t>
      </w:r>
    </w:p>
    <w:p w:rsidR="00C7238F" w:rsidRPr="00154250" w:rsidRDefault="00C7238F" w:rsidP="00C7238F">
      <w:pPr>
        <w:pStyle w:val="ListParagraph"/>
        <w:numPr>
          <w:ilvl w:val="0"/>
          <w:numId w:val="37"/>
        </w:numPr>
        <w:spacing w:after="120"/>
        <w:rPr>
          <w:lang w:val="en-GB"/>
        </w:rPr>
      </w:pPr>
      <w:r w:rsidRPr="00154250">
        <w:rPr>
          <w:lang w:val="en-GB"/>
        </w:rPr>
        <w:t xml:space="preserve">Policy recommendations  </w:t>
      </w:r>
    </w:p>
    <w:p w:rsidR="00C7238F" w:rsidRPr="00154250" w:rsidRDefault="00C7238F" w:rsidP="00152F25">
      <w:pPr>
        <w:jc w:val="both"/>
        <w:rPr>
          <w:lang w:val="en-GB"/>
        </w:rPr>
      </w:pPr>
      <w:r w:rsidRPr="00154250">
        <w:rPr>
          <w:lang w:val="en-GB"/>
        </w:rPr>
        <w:t xml:space="preserve">Although some flexibility in the usual structure is allowed, following this structure saves readers time and effort.  </w:t>
      </w:r>
    </w:p>
    <w:p w:rsidR="00C7238F" w:rsidRPr="00154250" w:rsidRDefault="00C7238F" w:rsidP="00C7238F">
      <w:pPr>
        <w:pStyle w:val="Heading3"/>
        <w:rPr>
          <w:lang w:val="en-GB"/>
        </w:rPr>
      </w:pPr>
      <w:bookmarkStart w:id="12" w:name="_Toc1455221"/>
      <w:bookmarkStart w:id="13" w:name="_Toc1627842"/>
      <w:r w:rsidRPr="00154250">
        <w:rPr>
          <w:lang w:val="en-GB"/>
        </w:rPr>
        <w:t>Content of particular sections</w:t>
      </w:r>
      <w:bookmarkEnd w:id="12"/>
      <w:bookmarkEnd w:id="13"/>
      <w:r w:rsidRPr="00154250">
        <w:rPr>
          <w:lang w:val="en-GB"/>
        </w:rPr>
        <w:t xml:space="preserve"> </w:t>
      </w:r>
    </w:p>
    <w:p w:rsidR="00C7238F" w:rsidRPr="00154250" w:rsidRDefault="00C7238F" w:rsidP="00152F25">
      <w:pPr>
        <w:jc w:val="both"/>
        <w:rPr>
          <w:rFonts w:cstheme="majorBidi"/>
          <w:szCs w:val="20"/>
          <w:lang w:val="en-GB"/>
        </w:rPr>
      </w:pPr>
      <w:r w:rsidRPr="00154250">
        <w:rPr>
          <w:rFonts w:cstheme="majorBidi"/>
          <w:szCs w:val="20"/>
          <w:lang w:val="en-GB"/>
        </w:rPr>
        <w:t xml:space="preserve">Here we introduce some framing rules on what type of information should be found in particular sections of </w:t>
      </w:r>
      <w:r w:rsidRPr="00154250">
        <w:rPr>
          <w:lang w:val="en-GB"/>
        </w:rPr>
        <w:t xml:space="preserve">M&amp;E reports. </w:t>
      </w:r>
      <w:r w:rsidRPr="00154250">
        <w:rPr>
          <w:rFonts w:cstheme="majorBidi"/>
          <w:szCs w:val="20"/>
          <w:lang w:val="en-GB"/>
        </w:rPr>
        <w:t xml:space="preserve"> </w:t>
      </w:r>
    </w:p>
    <w:p w:rsidR="00C7238F" w:rsidRPr="00154250" w:rsidRDefault="00C7238F" w:rsidP="00C7238F">
      <w:pPr>
        <w:ind w:firstLine="720"/>
        <w:rPr>
          <w:rFonts w:cstheme="majorBidi"/>
          <w:i/>
          <w:iCs/>
          <w:szCs w:val="20"/>
          <w:lang w:val="en-GB"/>
        </w:rPr>
      </w:pPr>
      <w:r w:rsidRPr="00154250">
        <w:rPr>
          <w:rFonts w:cstheme="majorBidi"/>
          <w:i/>
          <w:iCs/>
          <w:szCs w:val="20"/>
          <w:lang w:val="en-GB"/>
        </w:rPr>
        <w:t>Executive summary</w:t>
      </w:r>
    </w:p>
    <w:p w:rsidR="00C7238F" w:rsidRPr="00154250" w:rsidRDefault="00C7238F" w:rsidP="00C7238F">
      <w:pPr>
        <w:jc w:val="both"/>
        <w:rPr>
          <w:rFonts w:cstheme="majorBidi"/>
          <w:szCs w:val="20"/>
          <w:lang w:val="en-GB"/>
        </w:rPr>
      </w:pPr>
      <w:r w:rsidRPr="00154250">
        <w:rPr>
          <w:rFonts w:cstheme="majorBidi"/>
          <w:szCs w:val="20"/>
          <w:lang w:val="en-GB"/>
        </w:rPr>
        <w:t xml:space="preserve">The Executive summary summarizes the main information provided in the report. Despite that it presents the first section of the text, it should be written after the rest of the report, including the sections on Conclusions and policy recommendations, is complete. The structure of the Executive summary might copy the structure of the report. Main messages from all the other sections of the report should be touched in the Executive summary.   </w:t>
      </w:r>
    </w:p>
    <w:p w:rsidR="00C7238F" w:rsidRPr="00154250" w:rsidRDefault="00C7238F" w:rsidP="00C7238F">
      <w:pPr>
        <w:jc w:val="both"/>
        <w:rPr>
          <w:rFonts w:cstheme="majorBidi"/>
          <w:szCs w:val="20"/>
          <w:lang w:val="en-GB"/>
        </w:rPr>
      </w:pPr>
      <w:r w:rsidRPr="00154250">
        <w:rPr>
          <w:rFonts w:cstheme="majorBidi"/>
          <w:szCs w:val="20"/>
          <w:lang w:val="en-GB"/>
        </w:rPr>
        <w:lastRenderedPageBreak/>
        <w:t xml:space="preserve">The main purpose of the Executive summary is plainly summarisation of the information provided in the whole report in a shorter form. Another, less explicit, purpose of the Executive summary is to attract the reader to explore the report in more detail.  </w:t>
      </w:r>
    </w:p>
    <w:p w:rsidR="00C7238F" w:rsidRPr="00154250" w:rsidRDefault="00C7238F" w:rsidP="00C7238F">
      <w:pPr>
        <w:jc w:val="both"/>
        <w:rPr>
          <w:rFonts w:cstheme="majorBidi"/>
          <w:szCs w:val="20"/>
          <w:lang w:val="en-GB"/>
        </w:rPr>
      </w:pPr>
      <w:r w:rsidRPr="00154250">
        <w:rPr>
          <w:rFonts w:cstheme="majorBidi"/>
          <w:szCs w:val="20"/>
          <w:lang w:val="en-GB"/>
        </w:rPr>
        <w:t xml:space="preserve">Because the Executive summary is the part of the report most readers read (including the top level policy makers), sometimes it is also used to present the message of the report of crucial importance. </w:t>
      </w:r>
    </w:p>
    <w:p w:rsidR="00C7238F" w:rsidRPr="00154250" w:rsidRDefault="00C7238F" w:rsidP="00C7238F">
      <w:pPr>
        <w:ind w:firstLine="720"/>
        <w:rPr>
          <w:rFonts w:cstheme="majorBidi"/>
          <w:szCs w:val="20"/>
          <w:lang w:val="en-GB"/>
        </w:rPr>
      </w:pPr>
      <w:r w:rsidRPr="00154250">
        <w:rPr>
          <w:rFonts w:cstheme="majorBidi"/>
          <w:i/>
          <w:iCs/>
          <w:szCs w:val="20"/>
          <w:lang w:val="en-GB"/>
        </w:rPr>
        <w:t>Introduction</w:t>
      </w:r>
      <w:r w:rsidRPr="00154250">
        <w:rPr>
          <w:rFonts w:cstheme="majorBidi"/>
          <w:szCs w:val="20"/>
          <w:lang w:val="en-GB"/>
        </w:rPr>
        <w:t xml:space="preserve"> </w:t>
      </w:r>
    </w:p>
    <w:p w:rsidR="00152F25" w:rsidRPr="00154250" w:rsidRDefault="00C7238F" w:rsidP="00152F25">
      <w:pPr>
        <w:jc w:val="both"/>
        <w:rPr>
          <w:rFonts w:cstheme="majorBidi"/>
          <w:szCs w:val="20"/>
          <w:lang w:val="en-GB"/>
        </w:rPr>
      </w:pPr>
      <w:r w:rsidRPr="00154250">
        <w:rPr>
          <w:rFonts w:cstheme="majorBidi"/>
          <w:szCs w:val="20"/>
          <w:lang w:val="en-GB"/>
        </w:rPr>
        <w:t xml:space="preserve">The Introduction offers space for explaining the policy context, which motivates the report. The reader should be introduced to the strategic documents or other policy frameworks the Report refers to. Information on the periodicity of reporting, reference period, thematic and institutional scope of the report should be found here. Other relevant </w:t>
      </w:r>
      <w:r w:rsidRPr="00154250">
        <w:rPr>
          <w:lang w:val="en-GB"/>
        </w:rPr>
        <w:t xml:space="preserve">M&amp;E </w:t>
      </w:r>
      <w:r w:rsidRPr="00154250">
        <w:rPr>
          <w:rFonts w:cstheme="majorBidi"/>
          <w:szCs w:val="20"/>
          <w:lang w:val="en-GB"/>
        </w:rPr>
        <w:t xml:space="preserve">activities can be mentioned, as well as other intervening policies (policy documents). In some cases, also the structure of the following text should be outlined and explained here to give the reader an idea of organising the content of the following text.   </w:t>
      </w:r>
    </w:p>
    <w:p w:rsidR="00C7238F" w:rsidRPr="00154250" w:rsidRDefault="00C7238F" w:rsidP="003B5693">
      <w:pPr>
        <w:ind w:firstLine="708"/>
        <w:rPr>
          <w:rFonts w:cstheme="majorBidi"/>
          <w:szCs w:val="20"/>
          <w:lang w:val="en-GB"/>
        </w:rPr>
      </w:pPr>
      <w:r w:rsidRPr="00154250">
        <w:rPr>
          <w:rFonts w:cstheme="majorBidi"/>
          <w:szCs w:val="20"/>
          <w:lang w:val="en-GB"/>
        </w:rPr>
        <w:t>Concl</w:t>
      </w:r>
      <w:r w:rsidR="0087367B" w:rsidRPr="00154250">
        <w:rPr>
          <w:rFonts w:cstheme="majorBidi"/>
          <w:szCs w:val="20"/>
          <w:lang w:val="en-GB"/>
        </w:rPr>
        <w:t>usions</w:t>
      </w:r>
    </w:p>
    <w:p w:rsidR="00C7238F" w:rsidRPr="00154250" w:rsidRDefault="003B5693" w:rsidP="00152F25">
      <w:pPr>
        <w:jc w:val="both"/>
        <w:rPr>
          <w:rFonts w:cstheme="majorBidi"/>
          <w:szCs w:val="20"/>
          <w:lang w:val="en-GB"/>
        </w:rPr>
      </w:pPr>
      <w:r w:rsidRPr="00154250">
        <w:rPr>
          <w:rFonts w:cstheme="majorBidi"/>
          <w:szCs w:val="20"/>
          <w:lang w:val="en-GB"/>
        </w:rPr>
        <w:t xml:space="preserve">The Conclusions section summarizes the main messages of the main content parts of the report. In contrast to the Executive summary, Conclusions also allow for </w:t>
      </w:r>
      <w:r w:rsidR="00584120" w:rsidRPr="00154250">
        <w:rPr>
          <w:rFonts w:cstheme="majorBidi"/>
          <w:szCs w:val="20"/>
          <w:lang w:val="en-GB"/>
        </w:rPr>
        <w:t>a</w:t>
      </w:r>
      <w:r w:rsidRPr="00154250">
        <w:rPr>
          <w:rFonts w:cstheme="majorBidi"/>
          <w:szCs w:val="20"/>
          <w:lang w:val="en-GB"/>
        </w:rPr>
        <w:t xml:space="preserve"> more extensive explanation of the main developments during the reporting period (resp. messages of the report) and their more general implications for policy making. Predictions of future development, including the identification of potential risks can be included here as well. </w:t>
      </w:r>
    </w:p>
    <w:p w:rsidR="00C7238F" w:rsidRPr="00154250" w:rsidRDefault="00C7238F" w:rsidP="003B5693">
      <w:pPr>
        <w:ind w:firstLine="708"/>
        <w:rPr>
          <w:rFonts w:cstheme="majorBidi"/>
          <w:szCs w:val="20"/>
          <w:lang w:val="en-GB"/>
        </w:rPr>
      </w:pPr>
      <w:r w:rsidRPr="00154250">
        <w:rPr>
          <w:rFonts w:cstheme="majorBidi"/>
          <w:szCs w:val="20"/>
          <w:lang w:val="en-GB"/>
        </w:rPr>
        <w:t>Policy recommendations</w:t>
      </w:r>
    </w:p>
    <w:p w:rsidR="00584120" w:rsidRPr="00154250" w:rsidRDefault="003B5693" w:rsidP="00152F25">
      <w:pPr>
        <w:jc w:val="both"/>
        <w:rPr>
          <w:rFonts w:cstheme="majorBidi"/>
          <w:szCs w:val="20"/>
          <w:lang w:val="en-GB"/>
        </w:rPr>
      </w:pPr>
      <w:r w:rsidRPr="00154250">
        <w:rPr>
          <w:rFonts w:cstheme="majorBidi"/>
          <w:szCs w:val="20"/>
          <w:lang w:val="en-GB"/>
        </w:rPr>
        <w:t xml:space="preserve">Although, policy recommendations can be a part of the Conclusions section, it is a good practice in policy reporting to extract them into a separate section. </w:t>
      </w:r>
      <w:r w:rsidR="00584120" w:rsidRPr="00154250">
        <w:rPr>
          <w:rFonts w:cstheme="majorBidi"/>
          <w:szCs w:val="20"/>
          <w:lang w:val="en-GB"/>
        </w:rPr>
        <w:t xml:space="preserve">This is the second most attractive section of the report; it gets the second highest number of reads. Readers, who do not have time to read the whole report looking for potentially useful information to pick on. Therefore, three rules apply when writing the policy recommendations section: </w:t>
      </w:r>
    </w:p>
    <w:p w:rsidR="00584120" w:rsidRPr="00154250" w:rsidRDefault="00584120" w:rsidP="00584120">
      <w:pPr>
        <w:pStyle w:val="ListParagraph"/>
        <w:numPr>
          <w:ilvl w:val="0"/>
          <w:numId w:val="38"/>
        </w:numPr>
        <w:rPr>
          <w:rFonts w:cstheme="majorBidi"/>
          <w:szCs w:val="20"/>
          <w:lang w:val="en-GB"/>
        </w:rPr>
      </w:pPr>
      <w:r w:rsidRPr="00154250">
        <w:rPr>
          <w:rFonts w:cstheme="majorBidi"/>
          <w:szCs w:val="20"/>
          <w:lang w:val="en-GB"/>
        </w:rPr>
        <w:t xml:space="preserve">Conciseness – The reader does not have time, you need to attract his attention fast. Avoid any redundant text and go straight to the point. </w:t>
      </w:r>
    </w:p>
    <w:p w:rsidR="00584120" w:rsidRPr="00154250" w:rsidRDefault="00584120" w:rsidP="00584120">
      <w:pPr>
        <w:pStyle w:val="ListParagraph"/>
        <w:numPr>
          <w:ilvl w:val="0"/>
          <w:numId w:val="38"/>
        </w:numPr>
        <w:rPr>
          <w:rFonts w:cstheme="majorBidi"/>
          <w:szCs w:val="20"/>
          <w:lang w:val="en-GB"/>
        </w:rPr>
      </w:pPr>
      <w:r w:rsidRPr="00154250">
        <w:rPr>
          <w:rFonts w:cstheme="majorBidi"/>
          <w:szCs w:val="20"/>
          <w:lang w:val="en-GB"/>
        </w:rPr>
        <w:t xml:space="preserve">Readability </w:t>
      </w:r>
      <w:r w:rsidR="00152F25" w:rsidRPr="00154250">
        <w:rPr>
          <w:rFonts w:cstheme="majorBidi"/>
          <w:szCs w:val="20"/>
          <w:lang w:val="en-GB"/>
        </w:rPr>
        <w:t>–</w:t>
      </w:r>
      <w:r w:rsidRPr="00154250">
        <w:rPr>
          <w:rFonts w:cstheme="majorBidi"/>
          <w:szCs w:val="20"/>
          <w:lang w:val="en-GB"/>
        </w:rPr>
        <w:t xml:space="preserve"> </w:t>
      </w:r>
      <w:r w:rsidR="00152F25" w:rsidRPr="00154250">
        <w:rPr>
          <w:rFonts w:cstheme="majorBidi"/>
          <w:szCs w:val="20"/>
          <w:lang w:val="en-GB"/>
        </w:rPr>
        <w:t xml:space="preserve">Although your space is limited, you need to explain what you are recommending in plain language (avoid abbreviations or technical terms introduced in the main text of the report). </w:t>
      </w:r>
    </w:p>
    <w:p w:rsidR="00C7238F" w:rsidRPr="00154250" w:rsidRDefault="00584120" w:rsidP="00152F25">
      <w:pPr>
        <w:pStyle w:val="ListParagraph"/>
        <w:numPr>
          <w:ilvl w:val="0"/>
          <w:numId w:val="38"/>
        </w:numPr>
        <w:rPr>
          <w:rFonts w:cstheme="majorBidi"/>
          <w:szCs w:val="20"/>
          <w:lang w:val="en-GB"/>
        </w:rPr>
      </w:pPr>
      <w:r w:rsidRPr="00154250">
        <w:rPr>
          <w:rFonts w:cstheme="majorBidi"/>
          <w:szCs w:val="20"/>
          <w:lang w:val="en-GB"/>
        </w:rPr>
        <w:t xml:space="preserve">Accuracy </w:t>
      </w:r>
      <w:r w:rsidR="00152F25" w:rsidRPr="00154250">
        <w:rPr>
          <w:rFonts w:cstheme="majorBidi"/>
          <w:szCs w:val="20"/>
          <w:lang w:val="en-GB"/>
        </w:rPr>
        <w:t xml:space="preserve">– Be careful to base your recommendations based on the most recent and accurate evidence. Describe it in an accurate way.   </w:t>
      </w:r>
      <w:r w:rsidR="003B5693" w:rsidRPr="00154250">
        <w:rPr>
          <w:rFonts w:cstheme="majorBidi"/>
          <w:szCs w:val="20"/>
          <w:lang w:val="en-GB"/>
        </w:rPr>
        <w:t xml:space="preserve"> </w:t>
      </w:r>
    </w:p>
    <w:p w:rsidR="00152F25" w:rsidRPr="00154250" w:rsidRDefault="00152F25" w:rsidP="00152F25">
      <w:pPr>
        <w:rPr>
          <w:rFonts w:cstheme="majorBidi"/>
          <w:szCs w:val="20"/>
          <w:lang w:val="en-GB"/>
        </w:rPr>
      </w:pPr>
    </w:p>
    <w:p w:rsidR="00152F25" w:rsidRPr="00154250" w:rsidRDefault="00152F25" w:rsidP="00152F25">
      <w:pPr>
        <w:rPr>
          <w:rFonts w:cstheme="majorBidi"/>
          <w:szCs w:val="20"/>
          <w:lang w:val="en-GB"/>
        </w:rPr>
      </w:pPr>
    </w:p>
    <w:p w:rsidR="00152F25" w:rsidRPr="00154250" w:rsidRDefault="00152F25" w:rsidP="00152F25">
      <w:pPr>
        <w:rPr>
          <w:rFonts w:cstheme="majorBidi"/>
          <w:szCs w:val="20"/>
          <w:lang w:val="en-GB"/>
        </w:rPr>
      </w:pPr>
    </w:p>
    <w:p w:rsidR="00C7238F" w:rsidRPr="00154250" w:rsidRDefault="00C7238F" w:rsidP="00C7238F">
      <w:pPr>
        <w:pStyle w:val="Heading3"/>
        <w:rPr>
          <w:lang w:val="en-GB"/>
        </w:rPr>
      </w:pPr>
      <w:bookmarkStart w:id="14" w:name="_Toc1455222"/>
      <w:bookmarkStart w:id="15" w:name="_Toc1627843"/>
      <w:r w:rsidRPr="00154250">
        <w:rPr>
          <w:lang w:val="en-GB"/>
        </w:rPr>
        <w:lastRenderedPageBreak/>
        <w:t>Paragraph structure and rules of conveying the message supported with evidence</w:t>
      </w:r>
      <w:bookmarkEnd w:id="14"/>
      <w:bookmarkEnd w:id="15"/>
    </w:p>
    <w:p w:rsidR="00673CB0" w:rsidRPr="00154250" w:rsidRDefault="00152F25" w:rsidP="00B77BB2">
      <w:pPr>
        <w:rPr>
          <w:lang w:val="en-GB"/>
        </w:rPr>
      </w:pPr>
      <w:r w:rsidRPr="00154250">
        <w:rPr>
          <w:lang w:val="en-GB"/>
        </w:rPr>
        <w:t xml:space="preserve">The main body </w:t>
      </w:r>
      <w:r w:rsidR="00B77BB2" w:rsidRPr="00154250">
        <w:rPr>
          <w:lang w:val="en-GB"/>
        </w:rPr>
        <w:t>of the report should be dedicated to bring evidence on the development in the policy field. In the case of an evaluation report, evidence addressing the evaluation questions is presented here. The text should be structured into sections, defined either by policy areas (priorities of the strategy) or evaluation questions.</w:t>
      </w:r>
      <w:r w:rsidRPr="00154250">
        <w:rPr>
          <w:lang w:val="en-GB"/>
        </w:rPr>
        <w:t xml:space="preserve"> </w:t>
      </w:r>
      <w:r w:rsidR="00B77BB2" w:rsidRPr="00154250">
        <w:rPr>
          <w:lang w:val="en-GB"/>
        </w:rPr>
        <w:t xml:space="preserve">Within these sections text should be structured into </w:t>
      </w:r>
      <w:r w:rsidR="00673CB0" w:rsidRPr="00154250">
        <w:rPr>
          <w:lang w:val="en-GB"/>
        </w:rPr>
        <w:t xml:space="preserve">rather short paragraphs. Each paragraph should be carrying one main message and ideally supported by evidence visualised in a table or a figure. </w:t>
      </w:r>
    </w:p>
    <w:p w:rsidR="00C7238F" w:rsidRPr="00154250" w:rsidRDefault="00673CB0" w:rsidP="00D167A1">
      <w:pPr>
        <w:rPr>
          <w:lang w:val="en-GB"/>
        </w:rPr>
      </w:pPr>
      <w:r w:rsidRPr="00154250">
        <w:rPr>
          <w:lang w:val="en-GB"/>
        </w:rPr>
        <w:t xml:space="preserve">A good practice in writing policy reports is </w:t>
      </w:r>
      <w:r w:rsidR="00D167A1" w:rsidRPr="00154250">
        <w:rPr>
          <w:lang w:val="en-GB"/>
        </w:rPr>
        <w:t xml:space="preserve">phrasing the main message of the whole paragraph in the introductory sentence. This can be even highlighted with bold formatting. </w:t>
      </w:r>
      <w:r w:rsidRPr="00154250">
        <w:rPr>
          <w:lang w:val="en-GB"/>
        </w:rPr>
        <w:t xml:space="preserve"> </w:t>
      </w:r>
    </w:p>
    <w:p w:rsidR="00152F25" w:rsidRPr="00154250" w:rsidRDefault="00152F25" w:rsidP="00C7238F">
      <w:pPr>
        <w:rPr>
          <w:lang w:val="en-GB"/>
        </w:rPr>
      </w:pPr>
    </w:p>
    <w:p w:rsidR="00D167A1" w:rsidRPr="00154250" w:rsidRDefault="00D167A1">
      <w:pPr>
        <w:rPr>
          <w:rFonts w:asciiTheme="majorHAnsi" w:eastAsiaTheme="majorEastAsia" w:hAnsiTheme="majorHAnsi" w:cstheme="majorBidi"/>
          <w:b/>
          <w:bCs/>
          <w:i/>
          <w:iCs/>
          <w:color w:val="4F81BD" w:themeColor="accent1"/>
          <w:lang w:val="en-GB"/>
        </w:rPr>
      </w:pPr>
      <w:r w:rsidRPr="00154250">
        <w:rPr>
          <w:lang w:val="en-GB"/>
        </w:rPr>
        <w:br w:type="page"/>
      </w:r>
    </w:p>
    <w:p w:rsidR="00152F25" w:rsidRPr="00154250" w:rsidRDefault="00152F25" w:rsidP="00D167A1">
      <w:pPr>
        <w:pStyle w:val="Heading4"/>
        <w:numPr>
          <w:ilvl w:val="0"/>
          <w:numId w:val="0"/>
        </w:numPr>
        <w:ind w:left="864" w:hanging="864"/>
        <w:rPr>
          <w:lang w:val="en-GB"/>
        </w:rPr>
      </w:pPr>
      <w:r w:rsidRPr="00154250">
        <w:rPr>
          <w:lang w:val="en-GB"/>
        </w:rPr>
        <w:lastRenderedPageBreak/>
        <w:t>Exercise 1: Write a paragraph accompanying a graph</w:t>
      </w:r>
      <w:r w:rsidR="00D167A1" w:rsidRPr="00154250">
        <w:rPr>
          <w:lang w:val="en-GB"/>
        </w:rPr>
        <w:t xml:space="preserve"> from the Annual Performance Monitoring Report</w:t>
      </w:r>
      <w:r w:rsidRPr="00154250">
        <w:rPr>
          <w:lang w:val="en-GB"/>
        </w:rPr>
        <w:t xml:space="preserve">  </w:t>
      </w:r>
    </w:p>
    <w:p w:rsidR="00D167A1" w:rsidRPr="00154250" w:rsidRDefault="00D167A1" w:rsidP="00D167A1">
      <w:pPr>
        <w:pStyle w:val="Caption"/>
        <w:rPr>
          <w:rFonts w:asciiTheme="majorBidi" w:hAnsiTheme="majorBidi" w:cstheme="majorBidi"/>
          <w:sz w:val="22"/>
          <w:szCs w:val="22"/>
          <w:lang w:val="en-GB"/>
        </w:rPr>
      </w:pPr>
    </w:p>
    <w:p w:rsidR="00D167A1" w:rsidRPr="00154250" w:rsidRDefault="00D167A1" w:rsidP="00D167A1">
      <w:pPr>
        <w:rPr>
          <w:b/>
          <w:bCs/>
          <w:lang w:val="en-GB"/>
        </w:rPr>
      </w:pPr>
      <w:r w:rsidRPr="00154250">
        <w:rPr>
          <w:b/>
          <w:bCs/>
          <w:lang w:val="en-GB"/>
        </w:rPr>
        <w:t>Distribution of employed Jordanians according to age groups</w:t>
      </w:r>
    </w:p>
    <w:p w:rsidR="00152F25" w:rsidRPr="00154250" w:rsidRDefault="00D167A1" w:rsidP="00C7238F">
      <w:pPr>
        <w:rPr>
          <w:lang w:val="en-GB"/>
        </w:rPr>
      </w:pPr>
      <w:r w:rsidRPr="00154250">
        <w:rPr>
          <w:rFonts w:asciiTheme="majorBidi" w:hAnsiTheme="majorBidi" w:cstheme="majorBidi"/>
          <w:b/>
          <w:bCs/>
          <w:noProof/>
          <w:color w:val="E36C0A" w:themeColor="accent6" w:themeShade="BF"/>
          <w:lang w:val="en-US"/>
        </w:rPr>
        <w:drawing>
          <wp:inline distT="0" distB="0" distL="0" distR="0" wp14:anchorId="37EC4467" wp14:editId="7E08E98C">
            <wp:extent cx="5384800" cy="2444750"/>
            <wp:effectExtent l="0" t="0" r="25400" b="12700"/>
            <wp:docPr id="2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67A1" w:rsidRPr="00154250" w:rsidRDefault="00D167A1">
      <w:pPr>
        <w:rPr>
          <w:i/>
          <w:iCs/>
          <w:lang w:val="en-GB"/>
        </w:rPr>
      </w:pPr>
      <w:r w:rsidRPr="00154250">
        <w:rPr>
          <w:i/>
          <w:iCs/>
          <w:lang w:val="en-GB"/>
        </w:rPr>
        <w:t xml:space="preserve">Source: Ministry of Labour (MoL) </w:t>
      </w:r>
    </w:p>
    <w:p w:rsidR="00D167A1" w:rsidRPr="00154250" w:rsidRDefault="00D167A1">
      <w:pPr>
        <w:rPr>
          <w:i/>
          <w:iCs/>
          <w:lang w:val="en-GB"/>
        </w:rPr>
      </w:pPr>
    </w:p>
    <w:p w:rsidR="00D167A1" w:rsidRPr="00154250" w:rsidRDefault="00D167A1">
      <w:pPr>
        <w:rPr>
          <w:b/>
          <w:bCs/>
          <w:lang w:val="en-GB"/>
        </w:rPr>
      </w:pPr>
      <w:r w:rsidRPr="00154250">
        <w:rPr>
          <w:b/>
          <w:bCs/>
          <w:lang w:val="en-GB"/>
        </w:rPr>
        <w:t>Unemployment rates according to the education level</w:t>
      </w:r>
    </w:p>
    <w:p w:rsidR="00D167A1" w:rsidRPr="00154250" w:rsidRDefault="00D167A1">
      <w:pPr>
        <w:rPr>
          <w:rFonts w:asciiTheme="majorHAnsi" w:eastAsiaTheme="majorEastAsia" w:hAnsiTheme="majorHAnsi" w:cstheme="majorBidi"/>
          <w:b/>
          <w:bCs/>
          <w:i/>
          <w:iCs/>
          <w:color w:val="4F81BD" w:themeColor="accent1"/>
          <w:lang w:val="en-GB"/>
        </w:rPr>
      </w:pPr>
      <w:r w:rsidRPr="00154250">
        <w:rPr>
          <w:rFonts w:asciiTheme="majorBidi" w:hAnsiTheme="majorBidi" w:cstheme="majorBidi"/>
          <w:b/>
          <w:bCs/>
          <w:noProof/>
          <w:color w:val="E36C0A" w:themeColor="accent6" w:themeShade="BF"/>
          <w:lang w:val="en-US"/>
        </w:rPr>
        <w:drawing>
          <wp:inline distT="0" distB="0" distL="0" distR="0" wp14:anchorId="36F4A0A9" wp14:editId="61C45686">
            <wp:extent cx="5257800" cy="2508250"/>
            <wp:effectExtent l="0" t="0" r="19050" b="2540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67A1" w:rsidRPr="00154250" w:rsidRDefault="00D167A1" w:rsidP="00D167A1">
      <w:pPr>
        <w:rPr>
          <w:i/>
          <w:iCs/>
          <w:lang w:val="en-GB"/>
        </w:rPr>
      </w:pPr>
      <w:r w:rsidRPr="00154250">
        <w:rPr>
          <w:i/>
          <w:iCs/>
          <w:lang w:val="en-GB"/>
        </w:rPr>
        <w:t xml:space="preserve">Source: Ministry of Labour (MoL) </w:t>
      </w:r>
    </w:p>
    <w:p w:rsidR="00D167A1" w:rsidRPr="00154250" w:rsidRDefault="00D167A1">
      <w:pPr>
        <w:rPr>
          <w:rFonts w:asciiTheme="majorHAnsi" w:eastAsiaTheme="majorEastAsia" w:hAnsiTheme="majorHAnsi" w:cstheme="majorBidi"/>
          <w:b/>
          <w:bCs/>
          <w:i/>
          <w:iCs/>
          <w:color w:val="4F81BD" w:themeColor="accent1"/>
          <w:lang w:val="en-GB"/>
        </w:rPr>
      </w:pPr>
      <w:r w:rsidRPr="00154250">
        <w:rPr>
          <w:rFonts w:asciiTheme="majorHAnsi" w:eastAsiaTheme="majorEastAsia" w:hAnsiTheme="majorHAnsi" w:cstheme="majorBidi"/>
          <w:b/>
          <w:bCs/>
          <w:i/>
          <w:iCs/>
          <w:color w:val="4F81BD" w:themeColor="accent1"/>
          <w:lang w:val="en-GB"/>
        </w:rPr>
        <w:br w:type="page"/>
      </w:r>
    </w:p>
    <w:p w:rsidR="00152F25" w:rsidRPr="00154250" w:rsidRDefault="00152F25" w:rsidP="00D167A1">
      <w:pPr>
        <w:pStyle w:val="Heading4"/>
        <w:numPr>
          <w:ilvl w:val="0"/>
          <w:numId w:val="0"/>
        </w:numPr>
        <w:ind w:left="864" w:hanging="864"/>
        <w:rPr>
          <w:lang w:val="en-GB"/>
        </w:rPr>
      </w:pPr>
      <w:r w:rsidRPr="00154250">
        <w:rPr>
          <w:lang w:val="en-GB"/>
        </w:rPr>
        <w:lastRenderedPageBreak/>
        <w:t xml:space="preserve">Exercise 2: Write a Conclusions section of the PM Report from the following bullet points.  </w:t>
      </w:r>
    </w:p>
    <w:p w:rsidR="00D167A1" w:rsidRPr="00154250" w:rsidRDefault="00D167A1" w:rsidP="00D167A1">
      <w:pPr>
        <w:rPr>
          <w:lang w:val="en-GB"/>
        </w:rPr>
      </w:pPr>
    </w:p>
    <w:p w:rsidR="00D167A1" w:rsidRPr="00154250" w:rsidRDefault="00D167A1" w:rsidP="00D167A1">
      <w:pPr>
        <w:rPr>
          <w:b/>
          <w:bCs/>
          <w:lang w:val="en-GB"/>
        </w:rPr>
      </w:pPr>
      <w:r w:rsidRPr="00154250">
        <w:rPr>
          <w:b/>
          <w:bCs/>
          <w:lang w:val="en-GB"/>
        </w:rPr>
        <w:t xml:space="preserve">Main points presented in the report are: </w:t>
      </w:r>
    </w:p>
    <w:p w:rsidR="00D167A1" w:rsidRPr="00154250" w:rsidRDefault="00D167A1" w:rsidP="00D167A1">
      <w:pPr>
        <w:rPr>
          <w:i/>
          <w:iCs/>
          <w:lang w:val="en-GB"/>
        </w:rPr>
      </w:pPr>
      <w:r w:rsidRPr="00154250">
        <w:rPr>
          <w:i/>
          <w:iCs/>
          <w:lang w:val="en-GB"/>
        </w:rPr>
        <w:t xml:space="preserve">Labour market context: </w:t>
      </w:r>
    </w:p>
    <w:p w:rsidR="00D167A1" w:rsidRPr="00154250" w:rsidRDefault="00D167A1" w:rsidP="00D167A1">
      <w:pPr>
        <w:rPr>
          <w:i/>
          <w:iCs/>
          <w:lang w:val="en-GB"/>
        </w:rPr>
      </w:pPr>
      <w:r w:rsidRPr="00154250">
        <w:rPr>
          <w:i/>
          <w:iCs/>
          <w:lang w:val="en-GB"/>
        </w:rPr>
        <w:t xml:space="preserve">The total number of employed Jordanians increased in 2017 to 1.48 million. Gender employment gap remains substantial, without any sign of improvement. The number of foreign workers grew to almost 341 thousand in 2017. </w:t>
      </w:r>
    </w:p>
    <w:p w:rsidR="00D167A1" w:rsidRPr="00154250" w:rsidRDefault="00D167A1" w:rsidP="00D167A1">
      <w:pPr>
        <w:rPr>
          <w:i/>
          <w:iCs/>
          <w:lang w:val="en-GB"/>
        </w:rPr>
      </w:pPr>
      <w:r w:rsidRPr="00154250">
        <w:rPr>
          <w:i/>
          <w:iCs/>
          <w:lang w:val="en-GB"/>
        </w:rPr>
        <w:t xml:space="preserve">In contrast to increase in the total number of employed Jordanians, the unemployment rate is growing as well. The only region without a growth in the unemployment rate is Aqaba, which in 2017 became the region with the lowest unemployment rate. The unemployment rates grew across gender, age groups as well as educational levels. </w:t>
      </w:r>
    </w:p>
    <w:p w:rsidR="00D167A1" w:rsidRPr="00154250" w:rsidRDefault="00D167A1" w:rsidP="00D167A1">
      <w:pPr>
        <w:rPr>
          <w:i/>
          <w:iCs/>
          <w:lang w:val="en-GB"/>
        </w:rPr>
      </w:pPr>
      <w:r w:rsidRPr="00154250">
        <w:rPr>
          <w:i/>
          <w:iCs/>
          <w:lang w:val="en-GB"/>
        </w:rPr>
        <w:t>Pillar one:</w:t>
      </w:r>
    </w:p>
    <w:p w:rsidR="00D167A1" w:rsidRPr="00154250" w:rsidRDefault="00D167A1" w:rsidP="00D167A1">
      <w:pPr>
        <w:rPr>
          <w:i/>
          <w:iCs/>
          <w:lang w:val="en-GB"/>
        </w:rPr>
      </w:pPr>
      <w:r w:rsidRPr="00154250">
        <w:rPr>
          <w:i/>
          <w:iCs/>
          <w:lang w:val="en-GB"/>
        </w:rPr>
        <w:t>The number of programmes newly accredited by CAQA grew between years 2016 and 2017</w:t>
      </w:r>
    </w:p>
    <w:p w:rsidR="00D167A1" w:rsidRPr="00154250" w:rsidRDefault="00D167A1" w:rsidP="00D167A1">
      <w:pPr>
        <w:rPr>
          <w:i/>
          <w:iCs/>
          <w:lang w:val="en-GB"/>
        </w:rPr>
      </w:pPr>
      <w:r w:rsidRPr="00154250">
        <w:rPr>
          <w:i/>
          <w:iCs/>
          <w:lang w:val="en-GB"/>
        </w:rPr>
        <w:t>Pillar two:</w:t>
      </w:r>
    </w:p>
    <w:p w:rsidR="00D167A1" w:rsidRPr="00154250" w:rsidRDefault="00D167A1" w:rsidP="00D167A1">
      <w:pPr>
        <w:rPr>
          <w:i/>
          <w:iCs/>
          <w:lang w:val="en-GB"/>
        </w:rPr>
      </w:pPr>
      <w:r w:rsidRPr="00154250">
        <w:rPr>
          <w:i/>
          <w:iCs/>
          <w:lang w:val="en-GB"/>
        </w:rPr>
        <w:t xml:space="preserve">Enrolment in VET programmes declined for vocational and technical education and remains stable for vocational training programmes. </w:t>
      </w:r>
    </w:p>
    <w:p w:rsidR="00D167A1" w:rsidRPr="00154250" w:rsidRDefault="00D167A1" w:rsidP="00D167A1">
      <w:pPr>
        <w:rPr>
          <w:i/>
          <w:iCs/>
          <w:lang w:val="en-GB"/>
        </w:rPr>
      </w:pPr>
      <w:r w:rsidRPr="00154250">
        <w:rPr>
          <w:i/>
          <w:iCs/>
          <w:lang w:val="en-GB"/>
        </w:rPr>
        <w:t xml:space="preserve">The number of graduates from regular TVET programmes appears to increase between 2016 and 2017, but the picture provided by the available evidence is not complete. </w:t>
      </w:r>
    </w:p>
    <w:p w:rsidR="00D167A1" w:rsidRPr="00154250" w:rsidRDefault="00D167A1" w:rsidP="00D167A1">
      <w:pPr>
        <w:rPr>
          <w:i/>
          <w:iCs/>
          <w:lang w:val="en-GB"/>
        </w:rPr>
      </w:pPr>
      <w:r w:rsidRPr="00154250">
        <w:rPr>
          <w:i/>
          <w:iCs/>
          <w:lang w:val="en-GB"/>
        </w:rPr>
        <w:t xml:space="preserve">The employment of graduates from TVET programmes declined from 66 percent in 2016 to 52 percent in 2017.  </w:t>
      </w:r>
    </w:p>
    <w:p w:rsidR="00D167A1" w:rsidRPr="00154250" w:rsidRDefault="00D167A1" w:rsidP="00D167A1">
      <w:pPr>
        <w:rPr>
          <w:i/>
          <w:iCs/>
          <w:lang w:val="en-GB"/>
        </w:rPr>
      </w:pPr>
      <w:r w:rsidRPr="00154250">
        <w:rPr>
          <w:i/>
          <w:iCs/>
          <w:lang w:val="en-GB"/>
        </w:rPr>
        <w:t>Pillar three</w:t>
      </w:r>
    </w:p>
    <w:p w:rsidR="00D167A1" w:rsidRPr="00154250" w:rsidRDefault="00D167A1" w:rsidP="00D167A1">
      <w:pPr>
        <w:rPr>
          <w:i/>
          <w:iCs/>
          <w:lang w:val="en-GB"/>
        </w:rPr>
      </w:pPr>
      <w:r w:rsidRPr="00154250">
        <w:rPr>
          <w:i/>
          <w:iCs/>
          <w:lang w:val="en-GB"/>
        </w:rPr>
        <w:t xml:space="preserve">The share of females in technical programmes, especially in higher education, is approximately one third. This can be considered as relatively high in the context of the region. </w:t>
      </w:r>
    </w:p>
    <w:p w:rsidR="00D167A1" w:rsidRPr="00154250" w:rsidRDefault="00D167A1" w:rsidP="00D167A1">
      <w:pPr>
        <w:rPr>
          <w:i/>
          <w:iCs/>
          <w:lang w:val="en-GB"/>
        </w:rPr>
      </w:pPr>
      <w:r w:rsidRPr="00154250">
        <w:rPr>
          <w:i/>
          <w:iCs/>
          <w:lang w:val="en-GB"/>
        </w:rPr>
        <w:t xml:space="preserve">Pillar four: </w:t>
      </w:r>
    </w:p>
    <w:p w:rsidR="00D167A1" w:rsidRPr="00154250" w:rsidRDefault="00D167A1" w:rsidP="00D167A1">
      <w:pPr>
        <w:rPr>
          <w:i/>
          <w:iCs/>
          <w:lang w:val="en-GB"/>
        </w:rPr>
      </w:pPr>
      <w:r w:rsidRPr="00154250">
        <w:rPr>
          <w:i/>
          <w:iCs/>
          <w:lang w:val="en-GB"/>
        </w:rPr>
        <w:t xml:space="preserve">E-TVET Secretariat is improving its performance monitoring procedures with the support of international projects, such as the “Technical Support for the Employability Skills and Social Integration Program” project, funded by the EU. Improved processes, especially in data collection have been launched, but data quality remains below the EU standards. </w:t>
      </w:r>
    </w:p>
    <w:p w:rsidR="00D167A1" w:rsidRPr="00154250" w:rsidRDefault="00D167A1" w:rsidP="00D167A1">
      <w:pPr>
        <w:rPr>
          <w:i/>
          <w:iCs/>
          <w:lang w:val="en-GB"/>
        </w:rPr>
      </w:pPr>
      <w:r w:rsidRPr="00154250">
        <w:rPr>
          <w:i/>
          <w:iCs/>
          <w:lang w:val="en-GB"/>
        </w:rPr>
        <w:t xml:space="preserve">Pillar five: </w:t>
      </w:r>
    </w:p>
    <w:p w:rsidR="00152F25" w:rsidRPr="00154250" w:rsidRDefault="00D167A1" w:rsidP="00D167A1">
      <w:pPr>
        <w:rPr>
          <w:i/>
          <w:iCs/>
          <w:lang w:val="en-GB"/>
        </w:rPr>
      </w:pPr>
      <w:r w:rsidRPr="00154250">
        <w:rPr>
          <w:i/>
          <w:iCs/>
          <w:lang w:val="en-GB"/>
        </w:rPr>
        <w:t>The value of project funding in 2017 through the E-TVET Fund reached JOD 49,229,520.</w:t>
      </w:r>
    </w:p>
    <w:p w:rsidR="00152F25" w:rsidRPr="00154250" w:rsidRDefault="00152F25" w:rsidP="00C7238F">
      <w:pPr>
        <w:rPr>
          <w:lang w:val="en-GB"/>
        </w:rPr>
      </w:pPr>
    </w:p>
    <w:p w:rsidR="00C7238F" w:rsidRPr="00154250" w:rsidRDefault="00C7238F" w:rsidP="00C7238F">
      <w:pPr>
        <w:pStyle w:val="Heading2"/>
        <w:rPr>
          <w:lang w:val="en-GB"/>
        </w:rPr>
      </w:pPr>
      <w:bookmarkStart w:id="16" w:name="_Toc1455223"/>
      <w:bookmarkStart w:id="17" w:name="_Toc1627844"/>
      <w:r w:rsidRPr="00154250">
        <w:rPr>
          <w:lang w:val="en-GB"/>
        </w:rPr>
        <w:lastRenderedPageBreak/>
        <w:t>Formatting text in MS Word (Styles, References, Navigation through the document)</w:t>
      </w:r>
      <w:bookmarkEnd w:id="16"/>
      <w:bookmarkEnd w:id="17"/>
      <w:r w:rsidRPr="00154250">
        <w:rPr>
          <w:lang w:val="en-GB"/>
        </w:rPr>
        <w:t xml:space="preserve"> </w:t>
      </w:r>
    </w:p>
    <w:p w:rsidR="00C7238F" w:rsidRPr="00154250" w:rsidRDefault="00C7238F" w:rsidP="00B13124">
      <w:pPr>
        <w:jc w:val="both"/>
        <w:rPr>
          <w:lang w:val="en-GB"/>
        </w:rPr>
      </w:pPr>
      <w:r w:rsidRPr="00154250">
        <w:rPr>
          <w:rFonts w:cstheme="majorBidi"/>
          <w:szCs w:val="20"/>
          <w:lang w:val="en-GB"/>
        </w:rPr>
        <w:t xml:space="preserve">In this section practical advice is provided on how a report can be prepared in the most commonly used MS Office. Structuring the text of the report appears to be crucial in improving the readability of </w:t>
      </w:r>
      <w:r w:rsidRPr="00154250">
        <w:rPr>
          <w:lang w:val="en-GB"/>
        </w:rPr>
        <w:t xml:space="preserve">M&amp;E reports. For this, it is advised to use formatting functions in MS Word. </w:t>
      </w:r>
    </w:p>
    <w:p w:rsidR="00C7238F" w:rsidRPr="00154250" w:rsidRDefault="00C7238F" w:rsidP="00C7238F">
      <w:pPr>
        <w:pStyle w:val="Heading3"/>
        <w:rPr>
          <w:lang w:val="en-GB"/>
        </w:rPr>
      </w:pPr>
      <w:bookmarkStart w:id="18" w:name="_Toc1455224"/>
      <w:bookmarkStart w:id="19" w:name="_Toc1627845"/>
      <w:r w:rsidRPr="00154250">
        <w:rPr>
          <w:lang w:val="en-GB"/>
        </w:rPr>
        <w:t>Text Styles</w:t>
      </w:r>
      <w:bookmarkEnd w:id="18"/>
      <w:bookmarkEnd w:id="19"/>
      <w:r w:rsidRPr="00154250">
        <w:rPr>
          <w:lang w:val="en-GB"/>
        </w:rPr>
        <w:t xml:space="preserve">   </w:t>
      </w:r>
    </w:p>
    <w:p w:rsidR="00C7238F" w:rsidRPr="00154250" w:rsidRDefault="00C7238F" w:rsidP="00B13124">
      <w:pPr>
        <w:jc w:val="both"/>
        <w:rPr>
          <w:rFonts w:cstheme="majorBidi"/>
          <w:szCs w:val="20"/>
          <w:lang w:val="en-GB"/>
        </w:rPr>
      </w:pPr>
      <w:r w:rsidRPr="00154250">
        <w:rPr>
          <w:rFonts w:cstheme="majorBidi"/>
          <w:szCs w:val="20"/>
          <w:lang w:val="en-GB"/>
        </w:rPr>
        <w:t xml:space="preserve">Text entered into a MS Word text editor can be formatted using </w:t>
      </w:r>
      <w:r w:rsidR="00BA530E" w:rsidRPr="00154250">
        <w:rPr>
          <w:rFonts w:cstheme="majorBidi"/>
          <w:szCs w:val="20"/>
          <w:lang w:val="en-GB"/>
        </w:rPr>
        <w:t>different S</w:t>
      </w:r>
      <w:r w:rsidRPr="00154250">
        <w:rPr>
          <w:rFonts w:cstheme="majorBidi"/>
          <w:szCs w:val="20"/>
          <w:lang w:val="en-GB"/>
        </w:rPr>
        <w:t xml:space="preserve">tyles. </w:t>
      </w:r>
      <w:r w:rsidR="00BA530E" w:rsidRPr="00154250">
        <w:rPr>
          <w:rFonts w:cstheme="majorBidi"/>
          <w:szCs w:val="20"/>
          <w:lang w:val="en-GB"/>
        </w:rPr>
        <w:t xml:space="preserve">By assigning a style to a text, you </w:t>
      </w:r>
      <w:r w:rsidR="00B50660" w:rsidRPr="00154250">
        <w:rPr>
          <w:rFonts w:cstheme="majorBidi"/>
          <w:szCs w:val="20"/>
          <w:lang w:val="en-GB"/>
        </w:rPr>
        <w:t>select its formatting, but also tell the editor what is the function of this particular text (Header, explanatory text, etc. )</w:t>
      </w:r>
      <w:r w:rsidR="00BA530E" w:rsidRPr="00154250">
        <w:rPr>
          <w:rFonts w:cstheme="majorBidi"/>
          <w:szCs w:val="20"/>
          <w:lang w:val="en-GB"/>
        </w:rPr>
        <w:t xml:space="preserve"> </w:t>
      </w:r>
    </w:p>
    <w:p w:rsidR="00B50660" w:rsidRPr="00154250" w:rsidRDefault="00B50660" w:rsidP="00B50660">
      <w:pPr>
        <w:rPr>
          <w:rFonts w:cstheme="majorBidi"/>
          <w:szCs w:val="20"/>
          <w:lang w:val="en-GB"/>
        </w:rPr>
      </w:pPr>
    </w:p>
    <w:p w:rsidR="00C7238F" w:rsidRPr="00154250" w:rsidRDefault="00BA530E" w:rsidP="00BA530E">
      <w:pPr>
        <w:pStyle w:val="Heading4"/>
        <w:numPr>
          <w:ilvl w:val="0"/>
          <w:numId w:val="0"/>
        </w:numPr>
        <w:ind w:left="864" w:hanging="864"/>
        <w:rPr>
          <w:lang w:val="en-GB"/>
        </w:rPr>
      </w:pPr>
      <w:r w:rsidRPr="00154250">
        <w:rPr>
          <w:lang w:val="en-GB"/>
        </w:rPr>
        <w:t xml:space="preserve">Exercise 3 Use Styles and Insert Caption to produce the Table of Contents and Table of Figures </w:t>
      </w:r>
    </w:p>
    <w:p w:rsidR="0020575D" w:rsidRPr="00154250" w:rsidRDefault="0020575D" w:rsidP="0020575D">
      <w:pPr>
        <w:rPr>
          <w:lang w:val="en-GB"/>
        </w:rPr>
      </w:pPr>
    </w:p>
    <w:p w:rsidR="0020575D" w:rsidRPr="00154250" w:rsidRDefault="0020575D" w:rsidP="0020575D">
      <w:pPr>
        <w:rPr>
          <w:lang w:val="en-GB"/>
        </w:rPr>
      </w:pPr>
      <w:r w:rsidRPr="00154250">
        <w:rPr>
          <w:lang w:val="en-GB"/>
        </w:rPr>
        <w:t>Selecting a Style using the MS Word menu: Home/Styles</w:t>
      </w:r>
    </w:p>
    <w:p w:rsidR="0020575D" w:rsidRPr="00154250" w:rsidRDefault="0020575D" w:rsidP="0020575D">
      <w:pPr>
        <w:rPr>
          <w:lang w:val="en-GB"/>
        </w:rPr>
      </w:pPr>
      <w:r w:rsidRPr="00154250">
        <w:rPr>
          <w:lang w:val="en-GB"/>
        </w:rPr>
        <w:t>Inserting a Caption using the MS Word menu: References/Captions/Insert Caption</w:t>
      </w:r>
    </w:p>
    <w:p w:rsidR="00B50660" w:rsidRPr="00154250" w:rsidRDefault="0020575D" w:rsidP="0020575D">
      <w:pPr>
        <w:rPr>
          <w:lang w:val="en-GB"/>
        </w:rPr>
      </w:pPr>
      <w:r w:rsidRPr="00154250">
        <w:rPr>
          <w:lang w:val="en-GB"/>
        </w:rPr>
        <w:t>Inserting the Table of contents using the MS Word menu:  References/Table of Contents</w:t>
      </w:r>
    </w:p>
    <w:p w:rsidR="0020575D" w:rsidRPr="00154250" w:rsidRDefault="0020575D" w:rsidP="0020575D">
      <w:pPr>
        <w:rPr>
          <w:lang w:val="en-GB"/>
        </w:rPr>
      </w:pPr>
      <w:r w:rsidRPr="00154250">
        <w:rPr>
          <w:lang w:val="en-GB"/>
        </w:rPr>
        <w:t>Inserting the Table of Figures using the MS Word menu:  References/ Captions/Insert Table of Figures</w:t>
      </w:r>
    </w:p>
    <w:p w:rsidR="0020575D" w:rsidRPr="00154250" w:rsidRDefault="0020575D" w:rsidP="0020575D">
      <w:pPr>
        <w:rPr>
          <w:lang w:val="en-GB"/>
        </w:rPr>
      </w:pPr>
    </w:p>
    <w:p w:rsidR="00A777CA" w:rsidRPr="00154250" w:rsidRDefault="00A777CA">
      <w:pPr>
        <w:rPr>
          <w:rFonts w:asciiTheme="majorHAnsi" w:eastAsiaTheme="majorEastAsia" w:hAnsiTheme="majorHAnsi" w:cstheme="majorBidi"/>
          <w:b/>
          <w:bCs/>
          <w:color w:val="365F91" w:themeColor="accent1" w:themeShade="BF"/>
          <w:sz w:val="28"/>
          <w:szCs w:val="28"/>
          <w:lang w:val="en-GB"/>
        </w:rPr>
      </w:pPr>
      <w:r w:rsidRPr="00154250">
        <w:rPr>
          <w:lang w:val="en-GB"/>
        </w:rPr>
        <w:br w:type="page"/>
      </w:r>
    </w:p>
    <w:p w:rsidR="00C7238F" w:rsidRPr="00154250" w:rsidRDefault="00C7238F" w:rsidP="00372186">
      <w:pPr>
        <w:pStyle w:val="Heading1"/>
        <w:rPr>
          <w:lang w:val="en-GB"/>
        </w:rPr>
      </w:pPr>
      <w:bookmarkStart w:id="20" w:name="_Toc1627846"/>
      <w:r w:rsidRPr="00154250">
        <w:rPr>
          <w:lang w:val="en-GB"/>
        </w:rPr>
        <w:lastRenderedPageBreak/>
        <w:t xml:space="preserve">Module </w:t>
      </w:r>
      <w:r w:rsidR="00372186">
        <w:rPr>
          <w:lang w:val="en-GB"/>
        </w:rPr>
        <w:t>Two</w:t>
      </w:r>
      <w:r w:rsidRPr="00154250">
        <w:rPr>
          <w:lang w:val="en-GB"/>
        </w:rPr>
        <w:t>: Building and analysing indicators</w:t>
      </w:r>
      <w:bookmarkEnd w:id="20"/>
    </w:p>
    <w:p w:rsidR="00C7238F" w:rsidRPr="00154250" w:rsidRDefault="00C7238F" w:rsidP="00C7238F">
      <w:pPr>
        <w:rPr>
          <w:lang w:val="en-GB"/>
        </w:rPr>
      </w:pPr>
    </w:p>
    <w:p w:rsidR="00260C2B" w:rsidRPr="00CB497B" w:rsidRDefault="00CB497B" w:rsidP="00CB497B">
      <w:pPr>
        <w:jc w:val="both"/>
        <w:rPr>
          <w:lang w:val="en-GB"/>
        </w:rPr>
      </w:pPr>
      <w:r w:rsidRPr="00CB497B">
        <w:rPr>
          <w:lang w:val="en-GB"/>
        </w:rPr>
        <w:t xml:space="preserve">Moving from making policy based on opinions to evidence based policy making is an universal trend in policy making in the US, EU and other most developed countries. This movement allows for seeking the most effective policy measures and solutions, as well as international exchange of experiences. Moreover, relevant evidence produced to support existing policies also may attract additional resources into those public policies proven to </w:t>
      </w:r>
      <w:r>
        <w:rPr>
          <w:lang w:val="en-GB"/>
        </w:rPr>
        <w:t>yield positive effects</w:t>
      </w:r>
      <w:r w:rsidRPr="00CB497B">
        <w:rPr>
          <w:lang w:val="en-GB"/>
        </w:rPr>
        <w:t xml:space="preserve">. </w:t>
      </w:r>
    </w:p>
    <w:p w:rsidR="00260C2B" w:rsidRPr="00154250" w:rsidRDefault="00260C2B" w:rsidP="00260C2B">
      <w:pPr>
        <w:pStyle w:val="Heading2"/>
        <w:rPr>
          <w:rFonts w:eastAsia="Times New Roman"/>
          <w:szCs w:val="24"/>
          <w:lang w:val="en-GB"/>
        </w:rPr>
      </w:pPr>
      <w:bookmarkStart w:id="21" w:name="_Toc1627847"/>
      <w:r w:rsidRPr="00154250">
        <w:rPr>
          <w:rFonts w:eastAsia="Times New Roman"/>
          <w:lang w:val="en-GB"/>
        </w:rPr>
        <w:t>Designing policy relevant indicators</w:t>
      </w:r>
      <w:bookmarkEnd w:id="21"/>
      <w:r w:rsidRPr="00154250">
        <w:rPr>
          <w:rFonts w:eastAsia="Times New Roman"/>
          <w:szCs w:val="24"/>
          <w:lang w:val="en-GB"/>
        </w:rPr>
        <w:t xml:space="preserve"> </w:t>
      </w:r>
    </w:p>
    <w:p w:rsidR="00400608" w:rsidRPr="00154250" w:rsidRDefault="00400608" w:rsidP="00400608">
      <w:pPr>
        <w:rPr>
          <w:rFonts w:ascii="Arial" w:hAnsi="Arial" w:cs="Arial"/>
          <w:lang w:val="en-GB"/>
        </w:rPr>
      </w:pPr>
      <w:r>
        <w:rPr>
          <w:rFonts w:ascii="Arial" w:hAnsi="Arial" w:cs="Arial"/>
          <w:lang w:val="en-GB"/>
        </w:rPr>
        <w:t>Based on the manual on creating policy relevant indicators, t</w:t>
      </w:r>
      <w:r w:rsidRPr="00154250">
        <w:rPr>
          <w:rFonts w:ascii="Arial" w:hAnsi="Arial" w:cs="Arial"/>
          <w:lang w:val="en-GB"/>
        </w:rPr>
        <w:t>he use of evidence and indicators can improve policies by:</w:t>
      </w:r>
    </w:p>
    <w:p w:rsidR="00400608" w:rsidRPr="00A236E5" w:rsidRDefault="00400608" w:rsidP="00400608">
      <w:pPr>
        <w:pStyle w:val="ListParagraph"/>
        <w:numPr>
          <w:ilvl w:val="0"/>
          <w:numId w:val="39"/>
        </w:numPr>
        <w:rPr>
          <w:rFonts w:cs="Arial"/>
          <w:lang w:val="en-GB"/>
        </w:rPr>
      </w:pPr>
      <w:r w:rsidRPr="00A236E5">
        <w:rPr>
          <w:rFonts w:cs="Arial"/>
          <w:lang w:val="en-GB"/>
        </w:rPr>
        <w:t>helping to recognise a policy issue;</w:t>
      </w:r>
    </w:p>
    <w:p w:rsidR="00400608" w:rsidRPr="00A236E5" w:rsidRDefault="00400608" w:rsidP="00400608">
      <w:pPr>
        <w:pStyle w:val="ListParagraph"/>
        <w:numPr>
          <w:ilvl w:val="0"/>
          <w:numId w:val="39"/>
        </w:numPr>
        <w:rPr>
          <w:rFonts w:cs="Arial"/>
          <w:lang w:val="en-GB"/>
        </w:rPr>
      </w:pPr>
      <w:r w:rsidRPr="00A236E5">
        <w:rPr>
          <w:rFonts w:cs="Arial"/>
          <w:lang w:val="en-GB"/>
        </w:rPr>
        <w:t>providing information on policy design and choice;</w:t>
      </w:r>
    </w:p>
    <w:p w:rsidR="00400608" w:rsidRPr="00A236E5" w:rsidRDefault="00400608" w:rsidP="00400608">
      <w:pPr>
        <w:pStyle w:val="ListParagraph"/>
        <w:numPr>
          <w:ilvl w:val="0"/>
          <w:numId w:val="39"/>
        </w:numPr>
        <w:rPr>
          <w:rFonts w:cs="Arial"/>
          <w:lang w:val="en-GB"/>
        </w:rPr>
      </w:pPr>
      <w:r w:rsidRPr="00A236E5">
        <w:rPr>
          <w:rFonts w:cs="Arial"/>
          <w:lang w:val="en-GB"/>
        </w:rPr>
        <w:t>assisting with forecasting and modelling;</w:t>
      </w:r>
    </w:p>
    <w:p w:rsidR="00400608" w:rsidRPr="00A236E5" w:rsidRDefault="00400608" w:rsidP="00400608">
      <w:pPr>
        <w:pStyle w:val="ListParagraph"/>
        <w:numPr>
          <w:ilvl w:val="0"/>
          <w:numId w:val="39"/>
        </w:numPr>
        <w:rPr>
          <w:rFonts w:cs="Arial"/>
          <w:lang w:val="en-GB"/>
        </w:rPr>
      </w:pPr>
      <w:r w:rsidRPr="00A236E5">
        <w:rPr>
          <w:rFonts w:cs="Arial"/>
          <w:lang w:val="en-GB"/>
        </w:rPr>
        <w:t>monitoring policy implementation;</w:t>
      </w:r>
    </w:p>
    <w:p w:rsidR="00400608" w:rsidRPr="00A236E5" w:rsidRDefault="00400608" w:rsidP="00400608">
      <w:pPr>
        <w:pStyle w:val="ListParagraph"/>
        <w:numPr>
          <w:ilvl w:val="0"/>
          <w:numId w:val="39"/>
        </w:numPr>
        <w:rPr>
          <w:lang w:val="en-GB"/>
        </w:rPr>
      </w:pPr>
      <w:r w:rsidRPr="00A236E5">
        <w:rPr>
          <w:rFonts w:cs="Arial"/>
          <w:lang w:val="en-GB"/>
        </w:rPr>
        <w:t>evaluating policy impact</w:t>
      </w:r>
      <w:r w:rsidRPr="00A236E5">
        <w:rPr>
          <w:rStyle w:val="FootnoteReference"/>
          <w:rFonts w:cs="Arial"/>
          <w:lang w:val="en-GB"/>
        </w:rPr>
        <w:footnoteReference w:id="1"/>
      </w:r>
      <w:r w:rsidRPr="00A236E5">
        <w:rPr>
          <w:rFonts w:cs="Arial"/>
          <w:lang w:val="en-GB"/>
        </w:rPr>
        <w:t>.</w:t>
      </w:r>
    </w:p>
    <w:p w:rsidR="00260C2B" w:rsidRDefault="00400608" w:rsidP="00674FD3">
      <w:pPr>
        <w:rPr>
          <w:lang w:val="en-GB"/>
        </w:rPr>
      </w:pPr>
      <w:r>
        <w:rPr>
          <w:lang w:val="en-GB"/>
        </w:rPr>
        <w:t xml:space="preserve">The use of policy relevant indicators assumes the so called policy cycle in creating strategic policies. </w:t>
      </w:r>
      <w:r w:rsidR="00674FD3">
        <w:rPr>
          <w:lang w:val="en-GB"/>
        </w:rPr>
        <w:t xml:space="preserve">This cycle captures a continuous, cyclical process in five interconnected steps: </w:t>
      </w:r>
    </w:p>
    <w:p w:rsidR="00674FD3" w:rsidRDefault="00674FD3" w:rsidP="00674FD3">
      <w:pPr>
        <w:pStyle w:val="Caption"/>
      </w:pPr>
      <w:r>
        <w:t xml:space="preserve">Scheme </w:t>
      </w:r>
      <w:r w:rsidR="00836686">
        <w:rPr>
          <w:noProof/>
        </w:rPr>
        <w:fldChar w:fldCharType="begin"/>
      </w:r>
      <w:r w:rsidR="00836686">
        <w:rPr>
          <w:noProof/>
        </w:rPr>
        <w:instrText xml:space="preserve"> SEQ Scheme \* ARABIC </w:instrText>
      </w:r>
      <w:r w:rsidR="00836686">
        <w:rPr>
          <w:noProof/>
        </w:rPr>
        <w:fldChar w:fldCharType="separate"/>
      </w:r>
      <w:r>
        <w:rPr>
          <w:noProof/>
        </w:rPr>
        <w:t>1</w:t>
      </w:r>
      <w:r w:rsidR="00836686">
        <w:rPr>
          <w:noProof/>
        </w:rPr>
        <w:fldChar w:fldCharType="end"/>
      </w:r>
      <w:r>
        <w:t>: The Policy Cycle</w:t>
      </w:r>
    </w:p>
    <w:p w:rsidR="00400608" w:rsidRPr="00154250" w:rsidRDefault="00400608" w:rsidP="00674FD3">
      <w:pPr>
        <w:jc w:val="center"/>
        <w:rPr>
          <w:lang w:val="en-GB"/>
        </w:rPr>
      </w:pPr>
      <w:r>
        <w:rPr>
          <w:noProof/>
          <w:lang w:val="en-US"/>
        </w:rPr>
        <w:drawing>
          <wp:inline distT="0" distB="0" distL="0" distR="0">
            <wp:extent cx="316865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0" cy="2724150"/>
                    </a:xfrm>
                    <a:prstGeom prst="rect">
                      <a:avLst/>
                    </a:prstGeom>
                    <a:noFill/>
                    <a:ln>
                      <a:noFill/>
                    </a:ln>
                  </pic:spPr>
                </pic:pic>
              </a:graphicData>
            </a:graphic>
          </wp:inline>
        </w:drawing>
      </w:r>
    </w:p>
    <w:p w:rsidR="00B13124" w:rsidRPr="00154250" w:rsidRDefault="00674FD3" w:rsidP="00A236E5">
      <w:pPr>
        <w:jc w:val="both"/>
        <w:rPr>
          <w:lang w:val="en-GB"/>
        </w:rPr>
      </w:pPr>
      <w:r>
        <w:rPr>
          <w:lang w:val="en-GB"/>
        </w:rPr>
        <w:t>The policy cycle begins with setting up the agenda, which is later formulated into a specific policy</w:t>
      </w:r>
      <w:r w:rsidR="00B13124" w:rsidRPr="00154250">
        <w:rPr>
          <w:lang w:val="en-GB"/>
        </w:rPr>
        <w:t xml:space="preserve"> </w:t>
      </w:r>
      <w:r w:rsidR="00321B32">
        <w:rPr>
          <w:lang w:val="en-GB"/>
        </w:rPr>
        <w:t xml:space="preserve">document or set of objectives. These are subsequently picked upon in the process of making particular </w:t>
      </w:r>
      <w:r w:rsidR="00321B32">
        <w:rPr>
          <w:lang w:val="en-GB"/>
        </w:rPr>
        <w:lastRenderedPageBreak/>
        <w:t xml:space="preserve">decisions and their implementation. Implemented policy is afterwards being assessed and the </w:t>
      </w:r>
      <w:r w:rsidR="00585476">
        <w:rPr>
          <w:lang w:val="en-GB"/>
        </w:rPr>
        <w:t>cycle</w:t>
      </w:r>
      <w:r w:rsidR="00321B32">
        <w:rPr>
          <w:lang w:val="en-GB"/>
        </w:rPr>
        <w:t xml:space="preserve"> closes as the results from the assessment are used in setting up a revised agenda. </w:t>
      </w:r>
    </w:p>
    <w:p w:rsidR="002E2584" w:rsidRDefault="00585476" w:rsidP="00A236E5">
      <w:pPr>
        <w:jc w:val="both"/>
        <w:rPr>
          <w:lang w:val="en-GB"/>
        </w:rPr>
      </w:pPr>
      <w:r>
        <w:rPr>
          <w:lang w:val="en-GB"/>
        </w:rPr>
        <w:t>In the context of the Policy Cycle, indicators make the policy concrete. Designing them should be done closely with the knowledge</w:t>
      </w:r>
      <w:r w:rsidR="002E2584">
        <w:rPr>
          <w:lang w:val="en-GB"/>
        </w:rPr>
        <w:t xml:space="preserve"> of policy objectives and targets on one side and the available data on the other. </w:t>
      </w:r>
    </w:p>
    <w:p w:rsidR="002E2584" w:rsidRDefault="002E2584" w:rsidP="00A424CC">
      <w:pPr>
        <w:jc w:val="both"/>
        <w:rPr>
          <w:lang w:val="en-GB"/>
        </w:rPr>
      </w:pPr>
      <w:r>
        <w:rPr>
          <w:lang w:val="en-GB"/>
        </w:rPr>
        <w:t>Several types of indicators are usually used</w:t>
      </w:r>
      <w:r w:rsidR="00A424CC">
        <w:rPr>
          <w:lang w:val="en-GB"/>
        </w:rPr>
        <w:t>:</w:t>
      </w:r>
      <w:r>
        <w:rPr>
          <w:lang w:val="en-GB"/>
        </w:rPr>
        <w:t xml:space="preserve"> </w:t>
      </w:r>
    </w:p>
    <w:p w:rsidR="00D64163" w:rsidRPr="00A424CC" w:rsidRDefault="002E2584" w:rsidP="00A424CC">
      <w:pPr>
        <w:pStyle w:val="ListParagraph"/>
        <w:numPr>
          <w:ilvl w:val="0"/>
          <w:numId w:val="42"/>
        </w:numPr>
        <w:jc w:val="both"/>
        <w:rPr>
          <w:lang w:val="en-GB"/>
        </w:rPr>
      </w:pPr>
      <w:r w:rsidRPr="00A424CC">
        <w:rPr>
          <w:b/>
          <w:bCs/>
          <w:lang w:val="en-GB"/>
        </w:rPr>
        <w:t xml:space="preserve">Context indicators </w:t>
      </w:r>
      <w:r w:rsidRPr="00A424CC">
        <w:rPr>
          <w:lang w:val="en-GB"/>
        </w:rPr>
        <w:t>describe the context in which policies are being implemented.</w:t>
      </w:r>
      <w:r w:rsidRPr="00A424CC">
        <w:rPr>
          <w:b/>
          <w:bCs/>
          <w:lang w:val="en-GB"/>
        </w:rPr>
        <w:t xml:space="preserve"> </w:t>
      </w:r>
      <w:r w:rsidRPr="00A424CC">
        <w:rPr>
          <w:lang w:val="en-GB"/>
        </w:rPr>
        <w:t xml:space="preserve">They paint a picture of the environment in which policy actions are taking place. They should capture aspects of the reality potentially influencing the implementation, outputs and impact of policies.   </w:t>
      </w:r>
      <w:r w:rsidR="00585476" w:rsidRPr="00A424CC">
        <w:rPr>
          <w:lang w:val="en-GB"/>
        </w:rPr>
        <w:t xml:space="preserve">   </w:t>
      </w:r>
    </w:p>
    <w:p w:rsidR="00B13124" w:rsidRPr="00A424CC" w:rsidRDefault="002E2584" w:rsidP="00A424CC">
      <w:pPr>
        <w:pStyle w:val="ListParagraph"/>
        <w:numPr>
          <w:ilvl w:val="0"/>
          <w:numId w:val="42"/>
        </w:numPr>
        <w:jc w:val="both"/>
        <w:rPr>
          <w:lang w:val="en-GB"/>
        </w:rPr>
      </w:pPr>
      <w:r w:rsidRPr="00A424CC">
        <w:rPr>
          <w:b/>
          <w:bCs/>
          <w:lang w:val="en-GB"/>
        </w:rPr>
        <w:t xml:space="preserve">Input indicators </w:t>
      </w:r>
      <w:r w:rsidRPr="00A424CC">
        <w:rPr>
          <w:lang w:val="en-GB"/>
        </w:rPr>
        <w:t xml:space="preserve">capture the inputs into the policy implementation. </w:t>
      </w:r>
      <w:r w:rsidRPr="00A424CC">
        <w:rPr>
          <w:b/>
          <w:bCs/>
          <w:lang w:val="en-GB"/>
        </w:rPr>
        <w:t>Input – what resources are committed?</w:t>
      </w:r>
      <w:r w:rsidRPr="00A424CC">
        <w:rPr>
          <w:lang w:val="en-GB"/>
        </w:rPr>
        <w:t xml:space="preserve"> The resources –money, time, staff, expertise, methods, and facilities – that an organisation commits to a programme in order to produce the intended outputs and outcomes.</w:t>
      </w:r>
    </w:p>
    <w:p w:rsidR="002E2584" w:rsidRPr="00A424CC" w:rsidRDefault="002E2584" w:rsidP="00A424CC">
      <w:pPr>
        <w:pStyle w:val="ListParagraph"/>
        <w:numPr>
          <w:ilvl w:val="0"/>
          <w:numId w:val="42"/>
        </w:numPr>
        <w:jc w:val="both"/>
        <w:rPr>
          <w:b/>
          <w:bCs/>
          <w:lang w:val="en-GB"/>
        </w:rPr>
      </w:pPr>
      <w:r w:rsidRPr="00A424CC">
        <w:rPr>
          <w:b/>
          <w:bCs/>
          <w:lang w:val="en-GB"/>
        </w:rPr>
        <w:t xml:space="preserve">Output indicators. Output – what do you count?: </w:t>
      </w:r>
      <w:r w:rsidRPr="00A424CC">
        <w:rPr>
          <w:lang w:val="en-GB"/>
        </w:rPr>
        <w:t>The volume of a programme’s actions, such as products created or delivered, the number of people served, and activities and services carried out.</w:t>
      </w:r>
      <w:r w:rsidRPr="00A424CC">
        <w:rPr>
          <w:b/>
          <w:bCs/>
          <w:lang w:val="en-GB"/>
        </w:rPr>
        <w:t xml:space="preserve"> </w:t>
      </w:r>
    </w:p>
    <w:p w:rsidR="00A236E5" w:rsidRPr="00A424CC" w:rsidRDefault="00A236E5" w:rsidP="00A424CC">
      <w:pPr>
        <w:pStyle w:val="ListParagraph"/>
        <w:numPr>
          <w:ilvl w:val="0"/>
          <w:numId w:val="42"/>
        </w:numPr>
        <w:jc w:val="both"/>
        <w:rPr>
          <w:lang w:val="en-GB"/>
        </w:rPr>
      </w:pPr>
      <w:r w:rsidRPr="00A424CC">
        <w:rPr>
          <w:b/>
          <w:bCs/>
          <w:lang w:val="en-GB"/>
        </w:rPr>
        <w:t xml:space="preserve">Outcome indicators. Outcomes – what do you wish to achieve?: </w:t>
      </w:r>
      <w:r w:rsidRPr="00A424CC">
        <w:rPr>
          <w:lang w:val="en-GB"/>
        </w:rPr>
        <w:t>Meaningful changes for those you serve, generally defined in terms of expected changes in knowledge, skills, attitudes, behaviour, condition, or status.</w:t>
      </w:r>
      <w:r>
        <w:rPr>
          <w:rStyle w:val="FootnoteReference"/>
          <w:lang w:val="en-GB"/>
        </w:rPr>
        <w:footnoteReference w:id="2"/>
      </w:r>
      <w:r w:rsidRPr="00A424CC">
        <w:rPr>
          <w:lang w:val="en-GB"/>
        </w:rPr>
        <w:t xml:space="preserve"> </w:t>
      </w:r>
    </w:p>
    <w:p w:rsidR="00857C0B" w:rsidRPr="00A424CC" w:rsidRDefault="00857C0B" w:rsidP="00A424CC">
      <w:pPr>
        <w:pStyle w:val="ListParagraph"/>
        <w:numPr>
          <w:ilvl w:val="0"/>
          <w:numId w:val="42"/>
        </w:numPr>
        <w:jc w:val="both"/>
        <w:rPr>
          <w:b/>
          <w:bCs/>
          <w:lang w:val="en-GB"/>
        </w:rPr>
      </w:pPr>
      <w:r w:rsidRPr="00A424CC">
        <w:rPr>
          <w:b/>
          <w:bCs/>
          <w:lang w:val="en-GB"/>
        </w:rPr>
        <w:t>Performance indicators</w:t>
      </w:r>
      <w:r w:rsidRPr="00A424CC">
        <w:rPr>
          <w:lang w:val="en-GB"/>
        </w:rPr>
        <w:t xml:space="preserve"> are outcome indicators specifically designed to capture the performance of the policy. </w:t>
      </w:r>
    </w:p>
    <w:p w:rsidR="00A236E5" w:rsidRPr="00A236E5" w:rsidRDefault="006E3C5B" w:rsidP="006E3C5B">
      <w:pPr>
        <w:rPr>
          <w:lang w:val="en-GB"/>
        </w:rPr>
      </w:pPr>
      <w:r>
        <w:rPr>
          <w:lang w:val="en-GB"/>
        </w:rPr>
        <w:t>O</w:t>
      </w:r>
      <w:r w:rsidR="00A236E5">
        <w:rPr>
          <w:lang w:val="en-GB"/>
        </w:rPr>
        <w:t>utcome</w:t>
      </w:r>
      <w:r>
        <w:rPr>
          <w:lang w:val="en-GB"/>
        </w:rPr>
        <w:t xml:space="preserve"> indicators</w:t>
      </w:r>
      <w:r w:rsidR="00A236E5">
        <w:rPr>
          <w:lang w:val="en-GB"/>
        </w:rPr>
        <w:t xml:space="preserve"> can be used to quantify the impact of a policy. Specific procedures need to be applied in quantifying the impact. These are going to be described in Module three of this training on preparing an impact analysis, monitoring and evaluation.  </w:t>
      </w:r>
    </w:p>
    <w:p w:rsidR="00B13124" w:rsidRPr="00154250" w:rsidRDefault="00B13124" w:rsidP="00C7238F">
      <w:pPr>
        <w:rPr>
          <w:lang w:val="en-GB"/>
        </w:rPr>
      </w:pPr>
    </w:p>
    <w:p w:rsidR="00D64163" w:rsidRPr="00154250" w:rsidRDefault="00D64163">
      <w:pPr>
        <w:rPr>
          <w:lang w:val="en-GB"/>
        </w:rPr>
      </w:pPr>
      <w:r w:rsidRPr="00154250">
        <w:rPr>
          <w:lang w:val="en-GB"/>
        </w:rPr>
        <w:br w:type="page"/>
      </w:r>
    </w:p>
    <w:p w:rsidR="00260C2B" w:rsidRPr="00154250" w:rsidRDefault="00260C2B" w:rsidP="00260C2B">
      <w:pPr>
        <w:pStyle w:val="Heading2"/>
        <w:rPr>
          <w:lang w:val="en-GB"/>
        </w:rPr>
      </w:pPr>
      <w:bookmarkStart w:id="22" w:name="_Toc1627848"/>
      <w:r w:rsidRPr="00154250">
        <w:rPr>
          <w:lang w:val="en-GB"/>
        </w:rPr>
        <w:lastRenderedPageBreak/>
        <w:t>Advanced functions of MS Excel and their use in policy relevant analysis</w:t>
      </w:r>
      <w:bookmarkEnd w:id="22"/>
    </w:p>
    <w:p w:rsidR="00260C2B" w:rsidRPr="00154250" w:rsidRDefault="008703B2" w:rsidP="00154250">
      <w:pPr>
        <w:jc w:val="both"/>
        <w:rPr>
          <w:lang w:val="en-GB"/>
        </w:rPr>
      </w:pPr>
      <w:r w:rsidRPr="00154250">
        <w:rPr>
          <w:lang w:val="en-GB"/>
        </w:rPr>
        <w:t>MS Excel ca</w:t>
      </w:r>
      <w:r w:rsidR="008A277F" w:rsidRPr="00154250">
        <w:rPr>
          <w:lang w:val="en-GB"/>
        </w:rPr>
        <w:t xml:space="preserve">n be employed in an elementary statistical analysis. It can be used to produce descriptive statistics with basic statistical tests. Here we show examples of how MS Excel can be used to produce descriptive statistics, construct indicators and display evidence in tables and graphs. </w:t>
      </w:r>
    </w:p>
    <w:p w:rsidR="008A277F" w:rsidRPr="00154250" w:rsidRDefault="008A277F" w:rsidP="008A277F">
      <w:pPr>
        <w:rPr>
          <w:lang w:val="en-GB"/>
        </w:rPr>
      </w:pPr>
    </w:p>
    <w:p w:rsidR="00403F2A" w:rsidRDefault="00C7238F" w:rsidP="00260C2B">
      <w:pPr>
        <w:pStyle w:val="Heading4"/>
        <w:numPr>
          <w:ilvl w:val="0"/>
          <w:numId w:val="0"/>
        </w:numPr>
        <w:ind w:left="864" w:hanging="864"/>
        <w:rPr>
          <w:lang w:val="en-GB"/>
        </w:rPr>
      </w:pPr>
      <w:r w:rsidRPr="00154250">
        <w:rPr>
          <w:lang w:val="en-GB"/>
        </w:rPr>
        <w:t xml:space="preserve">Example </w:t>
      </w:r>
      <w:r w:rsidR="000E4B78" w:rsidRPr="00154250">
        <w:rPr>
          <w:lang w:val="en-GB"/>
        </w:rPr>
        <w:t>4</w:t>
      </w:r>
      <w:r w:rsidRPr="00154250">
        <w:rPr>
          <w:lang w:val="en-GB"/>
        </w:rPr>
        <w:t xml:space="preserve">: </w:t>
      </w:r>
      <w:r w:rsidR="00260C2B" w:rsidRPr="00154250">
        <w:rPr>
          <w:lang w:val="en-GB"/>
        </w:rPr>
        <w:t xml:space="preserve">Using Pivot Table in MS Excel to construct </w:t>
      </w:r>
      <w:r w:rsidRPr="00154250">
        <w:rPr>
          <w:lang w:val="en-GB"/>
        </w:rPr>
        <w:t>simple indicators out of register data</w:t>
      </w:r>
    </w:p>
    <w:p w:rsidR="004D6F9F" w:rsidRPr="003D0613" w:rsidRDefault="00C7238F" w:rsidP="003D0613">
      <w:pPr>
        <w:rPr>
          <w:b/>
          <w:bCs/>
          <w:lang w:val="en-GB"/>
        </w:rPr>
      </w:pPr>
      <w:r w:rsidRPr="00403F2A">
        <w:rPr>
          <w:b/>
          <w:bCs/>
          <w:lang w:val="en-GB"/>
        </w:rPr>
        <w:t xml:space="preserve"> </w:t>
      </w:r>
      <w:r w:rsidR="00260C2B" w:rsidRPr="00403F2A">
        <w:rPr>
          <w:b/>
          <w:bCs/>
          <w:lang w:val="en-GB"/>
        </w:rPr>
        <w:t xml:space="preserve">Data: </w:t>
      </w:r>
      <w:r w:rsidRPr="00403F2A">
        <w:rPr>
          <w:b/>
          <w:bCs/>
          <w:lang w:val="en-GB"/>
        </w:rPr>
        <w:t>2018 Graduates from programmes accredited by SAQA</w:t>
      </w:r>
      <w:r w:rsidR="00260C2B" w:rsidRPr="00403F2A">
        <w:rPr>
          <w:b/>
          <w:bCs/>
          <w:lang w:val="en-GB"/>
        </w:rPr>
        <w:t xml:space="preserve"> (File: SAQA_E4.xlsx</w:t>
      </w:r>
      <w:r w:rsidRPr="00403F2A">
        <w:rPr>
          <w:b/>
          <w:bCs/>
          <w:lang w:val="en-GB"/>
        </w:rPr>
        <w:t>)</w:t>
      </w:r>
    </w:p>
    <w:p w:rsidR="00260C2B" w:rsidRPr="00154250" w:rsidRDefault="00260C2B" w:rsidP="00154250">
      <w:pPr>
        <w:jc w:val="both"/>
        <w:rPr>
          <w:b/>
          <w:bCs/>
          <w:lang w:val="en-GB"/>
        </w:rPr>
      </w:pPr>
      <w:r w:rsidRPr="00154250">
        <w:rPr>
          <w:b/>
          <w:bCs/>
          <w:lang w:val="en-GB"/>
        </w:rPr>
        <w:t>Produce a table of the number graduates from SAQ</w:t>
      </w:r>
      <w:r w:rsidR="004D6F9F" w:rsidRPr="00154250">
        <w:rPr>
          <w:b/>
          <w:bCs/>
          <w:lang w:val="en-GB"/>
        </w:rPr>
        <w:t xml:space="preserve">A accredited programmes in 2018 by gender and governorate. </w:t>
      </w:r>
    </w:p>
    <w:p w:rsidR="004D6F9F" w:rsidRPr="00154250" w:rsidRDefault="004D6F9F" w:rsidP="00154250">
      <w:pPr>
        <w:jc w:val="both"/>
        <w:rPr>
          <w:lang w:val="en-GB"/>
        </w:rPr>
      </w:pPr>
      <w:r w:rsidRPr="00154250">
        <w:rPr>
          <w:lang w:val="en-GB"/>
        </w:rPr>
        <w:t>For the purpose of the training a spreadsheet data was exported by SAQA. The data can be further processes in MS Excel.</w:t>
      </w:r>
    </w:p>
    <w:p w:rsidR="004D6F9F" w:rsidRPr="00154250" w:rsidRDefault="004D6F9F" w:rsidP="00154250">
      <w:pPr>
        <w:jc w:val="both"/>
        <w:rPr>
          <w:lang w:val="en-GB"/>
        </w:rPr>
      </w:pPr>
      <w:r w:rsidRPr="00154250">
        <w:rPr>
          <w:lang w:val="en-GB"/>
        </w:rPr>
        <w:t xml:space="preserve">The table is on the program level. For each programme selected attributes are available including the number of male graduates, the number of female graduates and governorate in which the programme was delivered. </w:t>
      </w:r>
    </w:p>
    <w:p w:rsidR="004D6F9F" w:rsidRPr="00154250" w:rsidRDefault="004D6F9F" w:rsidP="00154250">
      <w:pPr>
        <w:jc w:val="both"/>
        <w:rPr>
          <w:lang w:val="en-GB"/>
        </w:rPr>
      </w:pPr>
      <w:r w:rsidRPr="00154250">
        <w:rPr>
          <w:lang w:val="en-GB"/>
        </w:rPr>
        <w:t xml:space="preserve">In the exercise we show how to use the Pivot table (Insert/Pivot table) tool, with its functions. </w:t>
      </w:r>
    </w:p>
    <w:p w:rsidR="00AF60F4" w:rsidRDefault="00154250" w:rsidP="003B5BE4">
      <w:pPr>
        <w:rPr>
          <w:b/>
          <w:bCs/>
          <w:lang w:val="en-GB"/>
        </w:rPr>
      </w:pPr>
      <w:r w:rsidRPr="00154250">
        <w:rPr>
          <w:b/>
          <w:bCs/>
          <w:lang w:val="en-GB"/>
        </w:rPr>
        <w:t>Further exercise</w:t>
      </w:r>
      <w:r w:rsidR="00AF60F4">
        <w:rPr>
          <w:b/>
          <w:bCs/>
          <w:lang w:val="en-GB"/>
        </w:rPr>
        <w:t>s</w:t>
      </w:r>
      <w:r w:rsidRPr="00154250">
        <w:rPr>
          <w:b/>
          <w:bCs/>
          <w:lang w:val="en-GB"/>
        </w:rPr>
        <w:t xml:space="preserve">: </w:t>
      </w:r>
    </w:p>
    <w:p w:rsidR="00154250" w:rsidRPr="00AF60F4" w:rsidRDefault="00154250" w:rsidP="003B5BE4">
      <w:pPr>
        <w:rPr>
          <w:lang w:val="en-GB"/>
        </w:rPr>
      </w:pPr>
      <w:r w:rsidRPr="00AF60F4">
        <w:rPr>
          <w:lang w:val="en-GB"/>
        </w:rPr>
        <w:t>Calculate the share of programmes with 100% success rate</w:t>
      </w:r>
      <w:r w:rsidR="00A236E5">
        <w:rPr>
          <w:lang w:val="en-GB"/>
        </w:rPr>
        <w:t>.</w:t>
      </w:r>
    </w:p>
    <w:p w:rsidR="00AF60F4" w:rsidRPr="00AF60F4" w:rsidRDefault="00AF60F4" w:rsidP="00AF60F4">
      <w:pPr>
        <w:rPr>
          <w:lang w:val="en-GB"/>
        </w:rPr>
      </w:pPr>
      <w:r w:rsidRPr="00AF60F4">
        <w:rPr>
          <w:lang w:val="en-GB"/>
        </w:rPr>
        <w:t>Calculate the average number of graduates per programme</w:t>
      </w:r>
      <w:r w:rsidR="00A236E5">
        <w:rPr>
          <w:lang w:val="en-GB"/>
        </w:rPr>
        <w:t>.</w:t>
      </w:r>
    </w:p>
    <w:p w:rsidR="00AF60F4" w:rsidRPr="003B5BE4" w:rsidRDefault="00AF60F4" w:rsidP="003B5BE4">
      <w:pPr>
        <w:rPr>
          <w:b/>
          <w:bCs/>
          <w:lang w:val="en-GB"/>
        </w:rPr>
      </w:pPr>
    </w:p>
    <w:p w:rsidR="003B5BE4" w:rsidRDefault="003B5BE4">
      <w:pPr>
        <w:rPr>
          <w:rFonts w:asciiTheme="majorHAnsi" w:eastAsiaTheme="majorEastAsia" w:hAnsiTheme="majorHAnsi" w:cstheme="majorBidi"/>
          <w:b/>
          <w:bCs/>
          <w:color w:val="4F81BD" w:themeColor="accent1"/>
          <w:sz w:val="26"/>
          <w:szCs w:val="26"/>
          <w:lang w:val="en-GB"/>
        </w:rPr>
      </w:pPr>
      <w:r>
        <w:rPr>
          <w:lang w:val="en-GB"/>
        </w:rPr>
        <w:br w:type="page"/>
      </w:r>
    </w:p>
    <w:p w:rsidR="00C7238F" w:rsidRPr="00154250" w:rsidRDefault="00C7238F" w:rsidP="003B5BE4">
      <w:pPr>
        <w:pStyle w:val="Heading2"/>
        <w:rPr>
          <w:lang w:val="en-GB"/>
        </w:rPr>
      </w:pPr>
      <w:bookmarkStart w:id="23" w:name="_Toc1627849"/>
      <w:r w:rsidRPr="00154250">
        <w:rPr>
          <w:lang w:val="en-GB"/>
        </w:rPr>
        <w:lastRenderedPageBreak/>
        <w:t xml:space="preserve">Calculating the weights </w:t>
      </w:r>
      <w:r w:rsidR="003B5BE4">
        <w:rPr>
          <w:lang w:val="en-GB"/>
        </w:rPr>
        <w:t>of</w:t>
      </w:r>
      <w:r w:rsidRPr="00154250">
        <w:rPr>
          <w:lang w:val="en-GB"/>
        </w:rPr>
        <w:t xml:space="preserve"> indicators</w:t>
      </w:r>
      <w:bookmarkEnd w:id="23"/>
    </w:p>
    <w:p w:rsidR="00154250" w:rsidRDefault="00154250" w:rsidP="003B5BE4">
      <w:pPr>
        <w:jc w:val="both"/>
        <w:rPr>
          <w:lang w:val="en-GB"/>
        </w:rPr>
      </w:pPr>
      <w:r w:rsidRPr="00154250">
        <w:rPr>
          <w:lang w:val="en-GB"/>
        </w:rPr>
        <w:t xml:space="preserve">Weights are </w:t>
      </w:r>
      <w:r>
        <w:rPr>
          <w:lang w:val="en-GB"/>
        </w:rPr>
        <w:t xml:space="preserve">in statistics used in situations when one unit (e.g. observation, indicator) needs to be accounted for with a different importance than </w:t>
      </w:r>
      <w:r w:rsidR="003B5BE4">
        <w:rPr>
          <w:lang w:val="en-GB"/>
        </w:rPr>
        <w:t>other units</w:t>
      </w:r>
      <w:r>
        <w:rPr>
          <w:lang w:val="en-GB"/>
        </w:rPr>
        <w:t>. For example</w:t>
      </w:r>
      <w:r w:rsidR="003B5BE4">
        <w:rPr>
          <w:lang w:val="en-GB"/>
        </w:rPr>
        <w:t>,</w:t>
      </w:r>
      <w:r>
        <w:rPr>
          <w:lang w:val="en-GB"/>
        </w:rPr>
        <w:t xml:space="preserve"> in the case of sampling surveys, when </w:t>
      </w:r>
      <w:r w:rsidR="003B5BE4">
        <w:rPr>
          <w:lang w:val="en-GB"/>
        </w:rPr>
        <w:t xml:space="preserve">the probability to be selected into the sample differs for various observations, sampling weights are calculated as an inverse function of the probability to be sampled. </w:t>
      </w:r>
    </w:p>
    <w:p w:rsidR="003B5BE4" w:rsidRPr="00154250" w:rsidRDefault="003B5BE4" w:rsidP="003B5BE4">
      <w:pPr>
        <w:jc w:val="both"/>
        <w:rPr>
          <w:lang w:val="en-GB"/>
        </w:rPr>
      </w:pPr>
      <w:r>
        <w:rPr>
          <w:lang w:val="en-GB"/>
        </w:rPr>
        <w:t xml:space="preserve">Analogously, there are examples in policy analysis when one observation needs to be accounted for with a different weight than other. Using the data on graduates from SAQA accredited programmes we show one example of such use.   </w:t>
      </w:r>
    </w:p>
    <w:p w:rsidR="00403F2A" w:rsidRDefault="00C7238F" w:rsidP="003B5BE4">
      <w:pPr>
        <w:pStyle w:val="Heading4"/>
        <w:numPr>
          <w:ilvl w:val="0"/>
          <w:numId w:val="0"/>
        </w:numPr>
        <w:ind w:left="864" w:hanging="864"/>
        <w:rPr>
          <w:lang w:val="en-GB"/>
        </w:rPr>
      </w:pPr>
      <w:r w:rsidRPr="00154250">
        <w:rPr>
          <w:lang w:val="en-GB"/>
        </w:rPr>
        <w:t>Example</w:t>
      </w:r>
      <w:r w:rsidR="00154250" w:rsidRPr="00154250">
        <w:rPr>
          <w:lang w:val="en-GB"/>
        </w:rPr>
        <w:t xml:space="preserve"> 5</w:t>
      </w:r>
      <w:r w:rsidRPr="00154250">
        <w:rPr>
          <w:lang w:val="en-GB"/>
        </w:rPr>
        <w:t>:</w:t>
      </w:r>
      <w:r w:rsidR="00154250" w:rsidRPr="00154250">
        <w:rPr>
          <w:lang w:val="en-GB"/>
        </w:rPr>
        <w:t xml:space="preserve"> </w:t>
      </w:r>
      <w:r w:rsidR="003B5BE4" w:rsidRPr="00154250">
        <w:rPr>
          <w:lang w:val="en-GB"/>
        </w:rPr>
        <w:t>The mean success (completion) rate calculation for TVET programs accredited by SAQA</w:t>
      </w:r>
      <w:r w:rsidR="00403F2A" w:rsidRPr="00403F2A">
        <w:rPr>
          <w:lang w:val="en-GB"/>
        </w:rPr>
        <w:t xml:space="preserve"> </w:t>
      </w:r>
    </w:p>
    <w:p w:rsidR="003B5BE4" w:rsidRPr="00403F2A" w:rsidRDefault="00403F2A" w:rsidP="00403F2A">
      <w:pPr>
        <w:rPr>
          <w:b/>
          <w:bCs/>
          <w:lang w:val="en-GB"/>
        </w:rPr>
      </w:pPr>
      <w:r w:rsidRPr="00403F2A">
        <w:rPr>
          <w:b/>
          <w:bCs/>
          <w:lang w:val="en-GB"/>
        </w:rPr>
        <w:t>Data: 2018 Graduates from programmes accredited by SAQA (File: SAQA_E4.xlsx)</w:t>
      </w:r>
      <w:r w:rsidR="003B5BE4" w:rsidRPr="00403F2A">
        <w:rPr>
          <w:b/>
          <w:bCs/>
          <w:lang w:val="en-GB"/>
        </w:rPr>
        <w:t xml:space="preserve"> </w:t>
      </w:r>
    </w:p>
    <w:p w:rsidR="003B5BE4" w:rsidRDefault="003B5BE4" w:rsidP="00154250">
      <w:pPr>
        <w:rPr>
          <w:lang w:val="en-GB"/>
        </w:rPr>
      </w:pPr>
      <w:r w:rsidRPr="003B5BE4">
        <w:rPr>
          <w:lang w:val="en-GB"/>
        </w:rPr>
        <w:t>O</w:t>
      </w:r>
      <w:r>
        <w:rPr>
          <w:lang w:val="en-GB"/>
        </w:rPr>
        <w:t xml:space="preserve">ur data include information at the level of programmes. This includes information on the success (completion) rate per programme. If we would like to produce one average success rate for all the SAQA accredited programmes in 2018 we would need to apply the following formula: </w:t>
      </w:r>
    </w:p>
    <w:p w:rsidR="003B5BE4" w:rsidRDefault="00ED0EB2" w:rsidP="003B5BE4">
      <w:pPr>
        <w:rPr>
          <w:lang w:val="en-GB"/>
        </w:rPr>
      </w:pPr>
      <m:oMathPara>
        <m:oMath>
          <m:r>
            <w:rPr>
              <w:rFonts w:ascii="Cambria Math" w:hAnsi="Cambria Math"/>
              <w:lang w:val="en-GB"/>
            </w:rPr>
            <m:t>Average SR=</m:t>
          </m:r>
          <m:f>
            <m:fPr>
              <m:ctrlPr>
                <w:rPr>
                  <w:rFonts w:ascii="Cambria Math" w:hAnsi="Cambria Math"/>
                  <w:i/>
                  <w:lang w:val="en-GB"/>
                </w:rPr>
              </m:ctrlPr>
            </m:fPr>
            <m:num>
              <m:eqArr>
                <m:eqArrPr>
                  <m:ctrlPr>
                    <w:rPr>
                      <w:rFonts w:ascii="Cambria Math" w:hAnsi="Cambria Math"/>
                      <w:i/>
                      <w:lang w:val="en-GB"/>
                    </w:rPr>
                  </m:ctrlPr>
                </m:eqArrPr>
                <m:e>
                  <m:r>
                    <w:rPr>
                      <w:rFonts w:ascii="Cambria Math" w:hAnsi="Cambria Math"/>
                      <w:lang w:val="en-GB"/>
                    </w:rPr>
                    <m:t xml:space="preserve">Number of participants in all of the SAQA accredited programmes in 2018, </m:t>
                  </m:r>
                </m:e>
                <m:e>
                  <m:r>
                    <w:rPr>
                      <w:rFonts w:ascii="Cambria Math" w:hAnsi="Cambria Math"/>
                      <w:lang w:val="en-GB"/>
                    </w:rPr>
                    <m:t>which completed all the programmes successfully</m:t>
                  </m:r>
                </m:e>
              </m:eqArr>
            </m:num>
            <m:den>
              <m:r>
                <w:rPr>
                  <w:rFonts w:ascii="Cambria Math" w:hAnsi="Cambria Math"/>
                  <w:lang w:val="en-GB"/>
                </w:rPr>
                <m:t>Number of participants in all of the SAQA accredited programmes in 2018</m:t>
              </m:r>
            </m:den>
          </m:f>
        </m:oMath>
      </m:oMathPara>
    </w:p>
    <w:p w:rsidR="00F823DD" w:rsidRDefault="00F823DD" w:rsidP="004E7C2A">
      <w:pPr>
        <w:jc w:val="both"/>
        <w:rPr>
          <w:lang w:val="en-GB"/>
        </w:rPr>
      </w:pPr>
      <w:r>
        <w:rPr>
          <w:lang w:val="en-GB"/>
        </w:rPr>
        <w:t xml:space="preserve">In the case we would be missing the information on the numbers of successfully completing participants and only have the information on the share at the programme level, we could reconstruct the total average success rate (SR) using a weighted average of the programme level success rates. Programmes would be weighted by the number of graduates. This could be done by adopting the following formula: </w:t>
      </w:r>
    </w:p>
    <w:p w:rsidR="00F823DD" w:rsidRDefault="00ED0EB2" w:rsidP="00F823DD">
      <w:pPr>
        <w:rPr>
          <w:lang w:val="en-GB"/>
        </w:rPr>
      </w:pPr>
      <m:oMathPara>
        <m:oMath>
          <m:r>
            <w:rPr>
              <w:rFonts w:ascii="Cambria Math" w:hAnsi="Cambria Math"/>
              <w:lang w:val="en-GB"/>
            </w:rPr>
            <m:t>Average SR=</m:t>
          </m:r>
          <m:f>
            <m:fPr>
              <m:ctrlPr>
                <w:rPr>
                  <w:rFonts w:ascii="Cambria Math" w:hAnsi="Cambria Math"/>
                  <w:i/>
                  <w:lang w:val="en-GB"/>
                </w:rPr>
              </m:ctrlPr>
            </m:fPr>
            <m:num>
              <m:nary>
                <m:naryPr>
                  <m:chr m:val="∑"/>
                  <m:limLoc m:val="undOvr"/>
                  <m:subHide m:val="1"/>
                  <m:supHide m:val="1"/>
                  <m:ctrlPr>
                    <w:rPr>
                      <w:rFonts w:ascii="Cambria Math" w:hAnsi="Cambria Math"/>
                      <w:i/>
                      <w:lang w:val="en-GB"/>
                    </w:rPr>
                  </m:ctrlPr>
                </m:naryPr>
                <m:sub/>
                <m:sup/>
                <m:e>
                  <m:r>
                    <w:rPr>
                      <w:rFonts w:ascii="Cambria Math" w:hAnsi="Cambria Math"/>
                      <w:lang w:val="en-GB"/>
                    </w:rPr>
                    <m:t>(NP*SR)</m:t>
                  </m:r>
                </m:e>
              </m:nary>
            </m:num>
            <m:den>
              <m:nary>
                <m:naryPr>
                  <m:chr m:val="∑"/>
                  <m:limLoc m:val="undOvr"/>
                  <m:subHide m:val="1"/>
                  <m:supHide m:val="1"/>
                  <m:ctrlPr>
                    <w:rPr>
                      <w:rFonts w:ascii="Cambria Math" w:hAnsi="Cambria Math"/>
                      <w:i/>
                      <w:lang w:val="en-GB"/>
                    </w:rPr>
                  </m:ctrlPr>
                </m:naryPr>
                <m:sub/>
                <m:sup/>
                <m:e>
                  <m:r>
                    <w:rPr>
                      <w:rFonts w:ascii="Cambria Math" w:hAnsi="Cambria Math"/>
                      <w:lang w:val="en-GB"/>
                    </w:rPr>
                    <m:t>(NP)</m:t>
                  </m:r>
                </m:e>
              </m:nary>
            </m:den>
          </m:f>
        </m:oMath>
      </m:oMathPara>
    </w:p>
    <w:p w:rsidR="00C7238F" w:rsidRDefault="006A4094" w:rsidP="006A4094">
      <w:pPr>
        <w:rPr>
          <w:lang w:val="en-GB"/>
        </w:rPr>
      </w:pPr>
      <w:r>
        <w:rPr>
          <w:lang w:val="en-GB"/>
        </w:rPr>
        <w:t>Where SR stands for the Success rate; NP stands for the number of participants.</w:t>
      </w:r>
    </w:p>
    <w:p w:rsidR="00ED0EB2" w:rsidRPr="00154250" w:rsidRDefault="00ED0EB2" w:rsidP="00DA27F7">
      <w:pPr>
        <w:jc w:val="both"/>
        <w:rPr>
          <w:lang w:val="en-GB"/>
        </w:rPr>
      </w:pPr>
      <w:r>
        <w:rPr>
          <w:lang w:val="en-GB"/>
        </w:rPr>
        <w:t xml:space="preserve">The same principle applies in cases when combining multiple values of indicators referring to unequally big sub-populations into one average figure referring to the total population. In such cases, the size of the sub-population presents the measure of importance, which is captured by the weight. The measures of importance can vary between applications.  </w:t>
      </w:r>
    </w:p>
    <w:p w:rsidR="00C7238F" w:rsidRDefault="00C7238F" w:rsidP="00C7238F">
      <w:pPr>
        <w:rPr>
          <w:lang w:val="en-GB"/>
        </w:rPr>
      </w:pPr>
    </w:p>
    <w:p w:rsidR="004E7C2A" w:rsidRDefault="004E7C2A" w:rsidP="00C7238F">
      <w:pPr>
        <w:rPr>
          <w:lang w:val="en-GB"/>
        </w:rPr>
      </w:pPr>
    </w:p>
    <w:p w:rsidR="004E7C2A" w:rsidRDefault="004E7C2A" w:rsidP="00C7238F">
      <w:pPr>
        <w:rPr>
          <w:lang w:val="en-GB"/>
        </w:rPr>
      </w:pPr>
    </w:p>
    <w:p w:rsidR="004E7C2A" w:rsidRPr="00154250" w:rsidRDefault="004E7C2A" w:rsidP="00C7238F">
      <w:pPr>
        <w:rPr>
          <w:lang w:val="en-GB"/>
        </w:rPr>
      </w:pPr>
    </w:p>
    <w:p w:rsidR="00C7238F" w:rsidRPr="00154250" w:rsidRDefault="00C7238F" w:rsidP="00AE2330">
      <w:pPr>
        <w:pStyle w:val="Heading2"/>
        <w:rPr>
          <w:lang w:val="en-GB"/>
        </w:rPr>
      </w:pPr>
      <w:bookmarkStart w:id="24" w:name="_Toc1627850"/>
      <w:r w:rsidRPr="00154250">
        <w:rPr>
          <w:lang w:val="en-GB"/>
        </w:rPr>
        <w:lastRenderedPageBreak/>
        <w:t xml:space="preserve">Basics of data processing in </w:t>
      </w:r>
      <w:r w:rsidR="00AE2330">
        <w:rPr>
          <w:lang w:val="en-GB"/>
        </w:rPr>
        <w:t>policy analysis</w:t>
      </w:r>
      <w:r w:rsidRPr="00154250">
        <w:rPr>
          <w:lang w:val="en-GB"/>
        </w:rPr>
        <w:t xml:space="preserve"> (producing descriptive statistics)</w:t>
      </w:r>
      <w:bookmarkEnd w:id="24"/>
      <w:r w:rsidRPr="00154250">
        <w:rPr>
          <w:lang w:val="en-GB"/>
        </w:rPr>
        <w:t> </w:t>
      </w:r>
    </w:p>
    <w:p w:rsidR="00154250" w:rsidRPr="00AE2330" w:rsidRDefault="00154250" w:rsidP="00AE2330">
      <w:pPr>
        <w:rPr>
          <w:b/>
          <w:bCs/>
          <w:lang w:val="en-GB"/>
        </w:rPr>
      </w:pPr>
      <w:r w:rsidRPr="00AE2330">
        <w:rPr>
          <w:b/>
          <w:bCs/>
          <w:lang w:val="en-GB"/>
        </w:rPr>
        <w:t xml:space="preserve">Example </w:t>
      </w:r>
      <w:r w:rsidR="00403F2A" w:rsidRPr="00AE2330">
        <w:rPr>
          <w:b/>
          <w:bCs/>
          <w:lang w:val="en-GB"/>
        </w:rPr>
        <w:t>6</w:t>
      </w:r>
      <w:r w:rsidRPr="00AE2330">
        <w:rPr>
          <w:b/>
          <w:bCs/>
          <w:lang w:val="en-GB"/>
        </w:rPr>
        <w:t>: Exploring the potential demand for TVET education among the</w:t>
      </w:r>
      <w:r w:rsidR="00403F2A" w:rsidRPr="00AE2330">
        <w:rPr>
          <w:b/>
          <w:bCs/>
          <w:lang w:val="en-GB"/>
        </w:rPr>
        <w:t xml:space="preserve"> population of 15-29 years old</w:t>
      </w:r>
    </w:p>
    <w:p w:rsidR="00403F2A" w:rsidRPr="00403F2A" w:rsidRDefault="00403F2A" w:rsidP="004E7C2A">
      <w:pPr>
        <w:rPr>
          <w:lang w:val="en-GB"/>
        </w:rPr>
      </w:pPr>
      <w:r w:rsidRPr="00154250">
        <w:rPr>
          <w:lang w:val="en-GB"/>
        </w:rPr>
        <w:t xml:space="preserve">Data: </w:t>
      </w:r>
      <w:r w:rsidR="004E7C2A">
        <w:rPr>
          <w:lang w:val="en-GB"/>
        </w:rPr>
        <w:t xml:space="preserve">Sub-selection from the </w:t>
      </w:r>
      <w:r>
        <w:rPr>
          <w:lang w:val="en-GB"/>
        </w:rPr>
        <w:t>Jordan School-to-</w:t>
      </w:r>
      <w:r w:rsidR="004E7C2A">
        <w:rPr>
          <w:lang w:val="en-GB"/>
        </w:rPr>
        <w:t>W</w:t>
      </w:r>
      <w:r>
        <w:rPr>
          <w:lang w:val="en-GB"/>
        </w:rPr>
        <w:t xml:space="preserve">ork </w:t>
      </w:r>
      <w:r w:rsidR="004E7C2A">
        <w:rPr>
          <w:lang w:val="en-GB"/>
        </w:rPr>
        <w:t>T</w:t>
      </w:r>
      <w:r>
        <w:rPr>
          <w:lang w:val="en-GB"/>
        </w:rPr>
        <w:t xml:space="preserve">ransition </w:t>
      </w:r>
      <w:r w:rsidR="004E7C2A">
        <w:rPr>
          <w:lang w:val="en-GB"/>
        </w:rPr>
        <w:t>S</w:t>
      </w:r>
      <w:r>
        <w:rPr>
          <w:lang w:val="en-GB"/>
        </w:rPr>
        <w:t>urvey 2015</w:t>
      </w:r>
      <w:r w:rsidRPr="00154250">
        <w:rPr>
          <w:lang w:val="en-GB"/>
        </w:rPr>
        <w:t xml:space="preserve"> (File: </w:t>
      </w:r>
      <w:r>
        <w:rPr>
          <w:lang w:val="en-GB"/>
        </w:rPr>
        <w:t>SWTS2015</w:t>
      </w:r>
      <w:r w:rsidRPr="00154250">
        <w:rPr>
          <w:lang w:val="en-GB"/>
        </w:rPr>
        <w:t>_E</w:t>
      </w:r>
      <w:r>
        <w:rPr>
          <w:lang w:val="en-GB"/>
        </w:rPr>
        <w:t>6</w:t>
      </w:r>
      <w:r w:rsidRPr="00154250">
        <w:rPr>
          <w:lang w:val="en-GB"/>
        </w:rPr>
        <w:t>.xlsx)</w:t>
      </w:r>
    </w:p>
    <w:p w:rsidR="008F348D" w:rsidRDefault="008F348D" w:rsidP="00154250">
      <w:pPr>
        <w:rPr>
          <w:lang w:val="en-GB"/>
        </w:rPr>
      </w:pPr>
    </w:p>
    <w:p w:rsidR="00154250" w:rsidRDefault="00AE2330" w:rsidP="00154250">
      <w:pPr>
        <w:rPr>
          <w:lang w:val="en-GB"/>
        </w:rPr>
      </w:pPr>
      <w:r>
        <w:rPr>
          <w:lang w:val="en-GB"/>
        </w:rPr>
        <w:t xml:space="preserve">Task 1: </w:t>
      </w:r>
      <w:r w:rsidR="00154250" w:rsidRPr="00154250">
        <w:rPr>
          <w:lang w:val="en-GB"/>
        </w:rPr>
        <w:t xml:space="preserve">Describe the educational status of young Jordanians. </w:t>
      </w:r>
    </w:p>
    <w:p w:rsidR="008F348D" w:rsidRDefault="008F348D" w:rsidP="00197EE3">
      <w:pPr>
        <w:rPr>
          <w:lang w:val="en-GB"/>
        </w:rPr>
      </w:pPr>
    </w:p>
    <w:p w:rsidR="00CB497B" w:rsidRDefault="00CB497B" w:rsidP="00197EE3">
      <w:pPr>
        <w:rPr>
          <w:lang w:val="en-GB"/>
        </w:rPr>
      </w:pPr>
      <w:r>
        <w:rPr>
          <w:lang w:val="en-GB"/>
        </w:rPr>
        <w:t>Task 2: What is the share of early school leavers in the Jordanian population of 1</w:t>
      </w:r>
      <w:r w:rsidR="00197EE3">
        <w:rPr>
          <w:lang w:val="en-GB"/>
        </w:rPr>
        <w:t>8</w:t>
      </w:r>
      <w:r>
        <w:rPr>
          <w:lang w:val="en-GB"/>
        </w:rPr>
        <w:t>-</w:t>
      </w:r>
      <w:r w:rsidR="00197EE3">
        <w:rPr>
          <w:lang w:val="en-GB"/>
        </w:rPr>
        <w:t>24</w:t>
      </w:r>
      <w:r>
        <w:rPr>
          <w:lang w:val="en-GB"/>
        </w:rPr>
        <w:t xml:space="preserve"> years old? Compare to the EU member states.  </w:t>
      </w:r>
    </w:p>
    <w:p w:rsidR="008F348D" w:rsidRDefault="008F348D" w:rsidP="00197EE3">
      <w:pPr>
        <w:rPr>
          <w:lang w:val="en-GB"/>
        </w:rPr>
      </w:pPr>
      <w:r>
        <w:rPr>
          <w:lang w:val="en-GB"/>
        </w:rPr>
        <w:t xml:space="preserve">Explain the structure of the database published by Eurostat and how to find the definitions used. </w:t>
      </w:r>
    </w:p>
    <w:p w:rsidR="008F348D" w:rsidRDefault="008F348D" w:rsidP="00197EE3">
      <w:pPr>
        <w:rPr>
          <w:lang w:val="en-GB"/>
        </w:rPr>
      </w:pPr>
    </w:p>
    <w:p w:rsidR="00CB497B" w:rsidRDefault="00CB497B" w:rsidP="00CB497B">
      <w:pPr>
        <w:rPr>
          <w:lang w:val="en-GB"/>
        </w:rPr>
      </w:pPr>
      <w:r>
        <w:rPr>
          <w:lang w:val="en-GB"/>
        </w:rPr>
        <w:t xml:space="preserve">Task 3: What is the share of NEES in the Jordanian population 15-29 years old? Compare to the EU member states. </w:t>
      </w:r>
    </w:p>
    <w:p w:rsidR="008F348D" w:rsidRDefault="008F348D" w:rsidP="00CB497B">
      <w:pPr>
        <w:rPr>
          <w:lang w:val="en-GB"/>
        </w:rPr>
      </w:pPr>
    </w:p>
    <w:p w:rsidR="00CB497B" w:rsidRPr="00154250" w:rsidRDefault="00CB497B" w:rsidP="00CB497B">
      <w:pPr>
        <w:rPr>
          <w:lang w:val="en-GB"/>
        </w:rPr>
      </w:pPr>
      <w:r>
        <w:rPr>
          <w:lang w:val="en-GB"/>
        </w:rPr>
        <w:t xml:space="preserve">Task 4: Propose </w:t>
      </w:r>
      <w:r w:rsidR="008F348D">
        <w:rPr>
          <w:lang w:val="en-GB"/>
        </w:rPr>
        <w:t xml:space="preserve">new </w:t>
      </w:r>
      <w:r>
        <w:rPr>
          <w:lang w:val="en-GB"/>
        </w:rPr>
        <w:t xml:space="preserve">indicators using the extraction from the SWTS data relevant for the Jordan ETVET policy.  </w:t>
      </w:r>
    </w:p>
    <w:p w:rsidR="00C7238F" w:rsidRPr="00154250" w:rsidRDefault="008F348D" w:rsidP="00C7238F">
      <w:pPr>
        <w:rPr>
          <w:lang w:val="en-GB"/>
        </w:rPr>
      </w:pPr>
      <w:r>
        <w:rPr>
          <w:lang w:val="en-GB"/>
        </w:rPr>
        <w:t xml:space="preserve">Explain the function of an indicator. </w:t>
      </w:r>
    </w:p>
    <w:p w:rsidR="00C7238F" w:rsidRPr="00154250" w:rsidRDefault="00C7238F" w:rsidP="00C7238F">
      <w:pPr>
        <w:rPr>
          <w:lang w:val="en-GB"/>
        </w:rPr>
      </w:pPr>
    </w:p>
    <w:p w:rsidR="00C7238F" w:rsidRPr="00154250" w:rsidRDefault="00C7238F" w:rsidP="00C7238F">
      <w:pPr>
        <w:rPr>
          <w:rFonts w:ascii="Times New Roman" w:hAnsi="Times New Roman" w:cs="Times New Roman"/>
          <w:color w:val="000000"/>
          <w:sz w:val="20"/>
          <w:szCs w:val="20"/>
          <w:lang w:val="en-GB"/>
        </w:rPr>
      </w:pPr>
    </w:p>
    <w:p w:rsidR="004E7C2A" w:rsidRDefault="004E7C2A">
      <w:pPr>
        <w:rPr>
          <w:rFonts w:asciiTheme="majorHAnsi" w:eastAsiaTheme="majorEastAsia" w:hAnsiTheme="majorHAnsi" w:cstheme="majorBidi"/>
          <w:b/>
          <w:bCs/>
          <w:color w:val="365F91" w:themeColor="accent1" w:themeShade="BF"/>
          <w:sz w:val="28"/>
          <w:szCs w:val="28"/>
          <w:lang w:val="en-GB"/>
        </w:rPr>
      </w:pPr>
      <w:r>
        <w:rPr>
          <w:lang w:val="en-GB"/>
        </w:rPr>
        <w:br w:type="page"/>
      </w:r>
    </w:p>
    <w:p w:rsidR="00C7238F" w:rsidRPr="00154250" w:rsidRDefault="00C7238F" w:rsidP="00372186">
      <w:pPr>
        <w:pStyle w:val="Heading1"/>
        <w:rPr>
          <w:lang w:val="en-GB"/>
        </w:rPr>
      </w:pPr>
      <w:bookmarkStart w:id="25" w:name="_Toc1627851"/>
      <w:r w:rsidRPr="00154250">
        <w:rPr>
          <w:lang w:val="en-GB"/>
        </w:rPr>
        <w:lastRenderedPageBreak/>
        <w:t xml:space="preserve">Module </w:t>
      </w:r>
      <w:r w:rsidR="00372186">
        <w:rPr>
          <w:lang w:val="en-GB"/>
        </w:rPr>
        <w:t>Three</w:t>
      </w:r>
      <w:r w:rsidRPr="00154250">
        <w:rPr>
          <w:lang w:val="en-GB"/>
        </w:rPr>
        <w:t>: Preparing impact analysis, monitoring and evaluation</w:t>
      </w:r>
      <w:bookmarkEnd w:id="25"/>
      <w:r w:rsidRPr="00154250">
        <w:rPr>
          <w:lang w:val="en-GB"/>
        </w:rPr>
        <w:t xml:space="preserve"> </w:t>
      </w:r>
    </w:p>
    <w:p w:rsidR="0082606C" w:rsidRPr="0082606C" w:rsidRDefault="0082606C" w:rsidP="00857C0B">
      <w:pPr>
        <w:jc w:val="both"/>
        <w:rPr>
          <w:lang w:val="en-US"/>
        </w:rPr>
      </w:pPr>
      <w:r>
        <w:rPr>
          <w:lang w:val="en-GB"/>
        </w:rPr>
        <w:t xml:space="preserve">Impact is a </w:t>
      </w:r>
      <w:r w:rsidRPr="002E2584">
        <w:rPr>
          <w:lang w:val="en-GB"/>
        </w:rPr>
        <w:t>general term used to describe the effects of a programme, policy or socioeconomic change. Impact can be positive or negative as well as foreseen or unforeseen.</w:t>
      </w:r>
      <w:r>
        <w:rPr>
          <w:lang w:val="en-GB"/>
        </w:rPr>
        <w:t xml:space="preserve"> Impact is followed on </w:t>
      </w:r>
      <w:r w:rsidR="00857C0B">
        <w:rPr>
          <w:lang w:val="en-GB"/>
        </w:rPr>
        <w:t xml:space="preserve">outcomes relevant from the perspective of the policy objectives. </w:t>
      </w:r>
    </w:p>
    <w:p w:rsidR="0082606C" w:rsidRPr="002E2584" w:rsidRDefault="00857C0B" w:rsidP="00F123A2">
      <w:pPr>
        <w:jc w:val="both"/>
        <w:rPr>
          <w:lang w:val="en-US"/>
        </w:rPr>
      </w:pPr>
      <w:r>
        <w:rPr>
          <w:lang w:val="en-US"/>
        </w:rPr>
        <w:t xml:space="preserve">In assessing and evaluating the impact of a policy several techniques are at hand. These are based either on comparisons in time (before and after the policy intervention), or on the comparison between individuals - real and potential beneficiaries. </w:t>
      </w:r>
      <w:r w:rsidR="00F123A2">
        <w:rPr>
          <w:lang w:val="en-US"/>
        </w:rPr>
        <w:t xml:space="preserve">In both cases the assessment is based on measuring a difference. </w:t>
      </w:r>
    </w:p>
    <w:p w:rsidR="00C7238F" w:rsidRDefault="00C7238F" w:rsidP="00C7238F">
      <w:pPr>
        <w:pStyle w:val="Heading2"/>
        <w:rPr>
          <w:lang w:val="en-GB"/>
        </w:rPr>
      </w:pPr>
      <w:bookmarkStart w:id="26" w:name="_Toc1627852"/>
      <w:r w:rsidRPr="00154250">
        <w:rPr>
          <w:lang w:val="en-GB"/>
        </w:rPr>
        <w:t>Elementary principles of impact evaluation</w:t>
      </w:r>
      <w:bookmarkEnd w:id="26"/>
    </w:p>
    <w:p w:rsidR="002F1C4A" w:rsidRDefault="002F1C4A" w:rsidP="002F1C4A">
      <w:pPr>
        <w:jc w:val="both"/>
        <w:rPr>
          <w:lang w:val="en-GB"/>
        </w:rPr>
      </w:pPr>
      <w:r>
        <w:rPr>
          <w:lang w:val="en-GB"/>
        </w:rPr>
        <w:t xml:space="preserve">Each evaluation starts with an evaluation question. When evaluating one particular training measure, the typical evaluation question could be: </w:t>
      </w:r>
    </w:p>
    <w:p w:rsidR="002F1C4A" w:rsidRDefault="002F1C4A" w:rsidP="002F1C4A">
      <w:pPr>
        <w:jc w:val="both"/>
        <w:rPr>
          <w:lang w:val="en-GB"/>
        </w:rPr>
      </w:pPr>
      <w:r>
        <w:rPr>
          <w:lang w:val="en-GB"/>
        </w:rPr>
        <w:t xml:space="preserve">“What is the impact of participation in the training on employment of participants?” </w:t>
      </w:r>
    </w:p>
    <w:p w:rsidR="002F1C4A" w:rsidRDefault="002F1C4A" w:rsidP="00C41F79">
      <w:pPr>
        <w:jc w:val="both"/>
        <w:rPr>
          <w:lang w:val="en-GB"/>
        </w:rPr>
      </w:pPr>
      <w:r>
        <w:rPr>
          <w:lang w:val="en-GB"/>
        </w:rPr>
        <w:t>To answer this question, we need to be collecting information on the employment rate of participants</w:t>
      </w:r>
      <w:r w:rsidR="00F123A2">
        <w:rPr>
          <w:lang w:val="en-GB"/>
        </w:rPr>
        <w:t xml:space="preserve"> (our outcome of interest)</w:t>
      </w:r>
      <w:r>
        <w:rPr>
          <w:lang w:val="en-GB"/>
        </w:rPr>
        <w:t xml:space="preserve">. If we have this information for two time periods, first before the participation in the measure and second after the participation, we could calculate the difference in these two employment rates. </w:t>
      </w:r>
      <w:r w:rsidR="00C41F79">
        <w:rPr>
          <w:lang w:val="en-GB"/>
        </w:rPr>
        <w:t xml:space="preserve">Let us imagine a theoretical example of a training programme with 100 participants and no drop-outs. The training programme was implemented during the whole year of 2017. The outcome of interest in our case is the employment rate of participants. </w:t>
      </w:r>
    </w:p>
    <w:p w:rsidR="002F1C4A" w:rsidRPr="00C41F79" w:rsidRDefault="002F1C4A" w:rsidP="00C41F79">
      <w:pPr>
        <w:pStyle w:val="Caption"/>
        <w:rPr>
          <w:lang w:val="en-GB"/>
        </w:rPr>
      </w:pPr>
      <w:r w:rsidRPr="00C41F79">
        <w:rPr>
          <w:lang w:val="en-GB"/>
        </w:rPr>
        <w:t xml:space="preserve">Table </w:t>
      </w:r>
      <w:r w:rsidRPr="00C41F79">
        <w:rPr>
          <w:lang w:val="en-GB"/>
        </w:rPr>
        <w:fldChar w:fldCharType="begin"/>
      </w:r>
      <w:r w:rsidRPr="00C41F79">
        <w:rPr>
          <w:lang w:val="en-GB"/>
        </w:rPr>
        <w:instrText xml:space="preserve"> SEQ Table \* ARABIC </w:instrText>
      </w:r>
      <w:r w:rsidRPr="00C41F79">
        <w:rPr>
          <w:lang w:val="en-GB"/>
        </w:rPr>
        <w:fldChar w:fldCharType="separate"/>
      </w:r>
      <w:r w:rsidRPr="00C41F79">
        <w:rPr>
          <w:noProof/>
          <w:lang w:val="en-GB"/>
        </w:rPr>
        <w:t>1</w:t>
      </w:r>
      <w:r w:rsidRPr="00C41F79">
        <w:rPr>
          <w:lang w:val="en-GB"/>
        </w:rPr>
        <w:fldChar w:fldCharType="end"/>
      </w:r>
      <w:r w:rsidRPr="00C41F79">
        <w:rPr>
          <w:lang w:val="en-GB"/>
        </w:rPr>
        <w:t xml:space="preserve">: </w:t>
      </w:r>
      <w:r w:rsidR="00C41F79" w:rsidRPr="00C41F79">
        <w:rPr>
          <w:lang w:val="en-GB"/>
        </w:rPr>
        <w:t>Details on an example training programme under evaluation</w:t>
      </w:r>
      <w:r w:rsidRPr="00C41F79">
        <w:rPr>
          <w:lang w:val="en-GB"/>
        </w:rPr>
        <w:t xml:space="preserve"> </w:t>
      </w:r>
    </w:p>
    <w:tbl>
      <w:tblPr>
        <w:tblStyle w:val="TableGrid"/>
        <w:tblW w:w="8454" w:type="dxa"/>
        <w:jc w:val="center"/>
        <w:tblLook w:val="04A0" w:firstRow="1" w:lastRow="0" w:firstColumn="1" w:lastColumn="0" w:noHBand="0" w:noVBand="1"/>
      </w:tblPr>
      <w:tblGrid>
        <w:gridCol w:w="3699"/>
        <w:gridCol w:w="1585"/>
        <w:gridCol w:w="1585"/>
        <w:gridCol w:w="1585"/>
      </w:tblGrid>
      <w:tr w:rsidR="002F1C4A" w:rsidRPr="002F1C4A" w:rsidTr="00C41F79">
        <w:trPr>
          <w:trHeight w:val="310"/>
          <w:jc w:val="center"/>
        </w:trPr>
        <w:tc>
          <w:tcPr>
            <w:tcW w:w="3699" w:type="dxa"/>
            <w:noWrap/>
            <w:hideMark/>
          </w:tcPr>
          <w:p w:rsidR="002F1C4A" w:rsidRPr="002F1C4A" w:rsidRDefault="002F1C4A" w:rsidP="002F1C4A">
            <w:pPr>
              <w:rPr>
                <w:rFonts w:ascii="Calibri" w:eastAsia="Times New Roman" w:hAnsi="Calibri" w:cs="Times New Roman"/>
                <w:color w:val="000000"/>
                <w:lang w:val="en-US"/>
              </w:rPr>
            </w:pPr>
          </w:p>
        </w:tc>
        <w:tc>
          <w:tcPr>
            <w:tcW w:w="1585" w:type="dxa"/>
            <w:noWrap/>
            <w:vAlign w:val="center"/>
            <w:hideMark/>
          </w:tcPr>
          <w:p w:rsidR="002F1C4A" w:rsidRDefault="002F1C4A" w:rsidP="002F1C4A">
            <w:pPr>
              <w:jc w:val="center"/>
              <w:rPr>
                <w:rFonts w:ascii="Calibri" w:eastAsia="Times New Roman" w:hAnsi="Calibri" w:cs="Times New Roman"/>
                <w:b/>
                <w:bCs/>
                <w:color w:val="000000"/>
                <w:lang w:val="en-US"/>
              </w:rPr>
            </w:pPr>
            <w:r w:rsidRPr="002F1C4A">
              <w:rPr>
                <w:rFonts w:ascii="Calibri" w:eastAsia="Times New Roman" w:hAnsi="Calibri" w:cs="Times New Roman"/>
                <w:b/>
                <w:bCs/>
                <w:color w:val="000000"/>
                <w:lang w:val="en-US"/>
              </w:rPr>
              <w:t>2016</w:t>
            </w:r>
          </w:p>
          <w:p w:rsidR="00C41F79" w:rsidRPr="002F1C4A" w:rsidRDefault="00C41F79" w:rsidP="002F1C4A">
            <w:pPr>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(Pre-participation)</w:t>
            </w:r>
          </w:p>
        </w:tc>
        <w:tc>
          <w:tcPr>
            <w:tcW w:w="1585" w:type="dxa"/>
            <w:noWrap/>
            <w:vAlign w:val="center"/>
            <w:hideMark/>
          </w:tcPr>
          <w:p w:rsidR="002F1C4A" w:rsidRDefault="002F1C4A" w:rsidP="002F1C4A">
            <w:pPr>
              <w:jc w:val="center"/>
              <w:rPr>
                <w:rFonts w:ascii="Calibri" w:eastAsia="Times New Roman" w:hAnsi="Calibri" w:cs="Times New Roman"/>
                <w:b/>
                <w:bCs/>
                <w:color w:val="000000"/>
                <w:lang w:val="en-US"/>
              </w:rPr>
            </w:pPr>
            <w:r w:rsidRPr="002F1C4A">
              <w:rPr>
                <w:rFonts w:ascii="Calibri" w:eastAsia="Times New Roman" w:hAnsi="Calibri" w:cs="Times New Roman"/>
                <w:b/>
                <w:bCs/>
                <w:color w:val="000000"/>
                <w:lang w:val="en-US"/>
              </w:rPr>
              <w:t>2017</w:t>
            </w:r>
          </w:p>
          <w:p w:rsidR="00C41F79" w:rsidRPr="002F1C4A" w:rsidRDefault="00C41F79" w:rsidP="002F1C4A">
            <w:pPr>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(Participation)</w:t>
            </w:r>
          </w:p>
        </w:tc>
        <w:tc>
          <w:tcPr>
            <w:tcW w:w="1585" w:type="dxa"/>
            <w:noWrap/>
            <w:vAlign w:val="center"/>
            <w:hideMark/>
          </w:tcPr>
          <w:p w:rsidR="00C41F79" w:rsidRDefault="002F1C4A" w:rsidP="002F1C4A">
            <w:pPr>
              <w:jc w:val="center"/>
              <w:rPr>
                <w:rFonts w:ascii="Calibri" w:eastAsia="Times New Roman" w:hAnsi="Calibri" w:cs="Times New Roman"/>
                <w:b/>
                <w:bCs/>
                <w:color w:val="000000"/>
                <w:lang w:val="en-US"/>
              </w:rPr>
            </w:pPr>
            <w:r w:rsidRPr="002F1C4A">
              <w:rPr>
                <w:rFonts w:ascii="Calibri" w:eastAsia="Times New Roman" w:hAnsi="Calibri" w:cs="Times New Roman"/>
                <w:b/>
                <w:bCs/>
                <w:color w:val="000000"/>
                <w:lang w:val="en-US"/>
              </w:rPr>
              <w:t>2018</w:t>
            </w:r>
            <w:r w:rsidR="00C41F79">
              <w:rPr>
                <w:rFonts w:ascii="Calibri" w:eastAsia="Times New Roman" w:hAnsi="Calibri" w:cs="Times New Roman"/>
                <w:b/>
                <w:bCs/>
                <w:color w:val="000000"/>
                <w:lang w:val="en-US"/>
              </w:rPr>
              <w:t xml:space="preserve"> </w:t>
            </w:r>
          </w:p>
          <w:p w:rsidR="002F1C4A" w:rsidRPr="002F1C4A" w:rsidRDefault="008308E2" w:rsidP="008308E2">
            <w:pPr>
              <w:jc w:val="center"/>
              <w:rPr>
                <w:rFonts w:ascii="Calibri" w:eastAsia="Times New Roman" w:hAnsi="Calibri" w:cs="Times New Roman"/>
                <w:b/>
                <w:bCs/>
                <w:color w:val="000000"/>
                <w:lang w:val="en-US"/>
              </w:rPr>
            </w:pPr>
            <w:r>
              <w:rPr>
                <w:rFonts w:ascii="Calibri" w:eastAsia="Times New Roman" w:hAnsi="Calibri" w:cs="Times New Roman"/>
                <w:b/>
                <w:bCs/>
                <w:color w:val="000000"/>
                <w:lang w:val="en-US"/>
              </w:rPr>
              <w:t>(</w:t>
            </w:r>
            <w:r w:rsidR="00C41F79">
              <w:rPr>
                <w:rFonts w:ascii="Calibri" w:eastAsia="Times New Roman" w:hAnsi="Calibri" w:cs="Times New Roman"/>
                <w:b/>
                <w:bCs/>
                <w:color w:val="000000"/>
                <w:lang w:val="en-US"/>
              </w:rPr>
              <w:t>Post-</w:t>
            </w:r>
            <w:r>
              <w:rPr>
                <w:rFonts w:ascii="Calibri" w:eastAsia="Times New Roman" w:hAnsi="Calibri" w:cs="Times New Roman"/>
                <w:b/>
                <w:bCs/>
                <w:color w:val="000000"/>
                <w:lang w:val="en-US"/>
              </w:rPr>
              <w:t>participation)</w:t>
            </w:r>
          </w:p>
        </w:tc>
      </w:tr>
      <w:tr w:rsidR="002F1C4A" w:rsidRPr="002F1C4A" w:rsidTr="00C41F79">
        <w:trPr>
          <w:trHeight w:val="310"/>
          <w:jc w:val="center"/>
        </w:trPr>
        <w:tc>
          <w:tcPr>
            <w:tcW w:w="3699" w:type="dxa"/>
            <w:noWrap/>
            <w:hideMark/>
          </w:tcPr>
          <w:p w:rsidR="002F1C4A" w:rsidRPr="002F1C4A" w:rsidRDefault="002F1C4A" w:rsidP="002F1C4A">
            <w:pPr>
              <w:rPr>
                <w:rFonts w:ascii="Calibri" w:eastAsia="Times New Roman" w:hAnsi="Calibri" w:cs="Times New Roman"/>
                <w:b/>
                <w:bCs/>
                <w:color w:val="000000"/>
                <w:lang w:val="en-US"/>
              </w:rPr>
            </w:pPr>
            <w:r w:rsidRPr="002F1C4A">
              <w:rPr>
                <w:rFonts w:ascii="Calibri" w:eastAsia="Times New Roman" w:hAnsi="Calibri" w:cs="Times New Roman"/>
                <w:b/>
                <w:bCs/>
                <w:color w:val="000000"/>
                <w:lang w:val="en-US"/>
              </w:rPr>
              <w:t>Employment rate</w:t>
            </w:r>
            <w:r>
              <w:rPr>
                <w:rFonts w:ascii="Calibri" w:eastAsia="Times New Roman" w:hAnsi="Calibri" w:cs="Times New Roman"/>
                <w:b/>
                <w:bCs/>
                <w:color w:val="000000"/>
                <w:lang w:val="en-US"/>
              </w:rPr>
              <w:t xml:space="preserve"> of participants</w:t>
            </w:r>
            <w:r w:rsidR="008308E2">
              <w:rPr>
                <w:rFonts w:ascii="Calibri" w:eastAsia="Times New Roman" w:hAnsi="Calibri" w:cs="Times New Roman"/>
                <w:b/>
                <w:bCs/>
                <w:color w:val="000000"/>
                <w:lang w:val="en-US"/>
              </w:rPr>
              <w:t xml:space="preserve"> in %</w:t>
            </w:r>
          </w:p>
        </w:tc>
        <w:tc>
          <w:tcPr>
            <w:tcW w:w="1585" w:type="dxa"/>
            <w:noWrap/>
            <w:vAlign w:val="center"/>
            <w:hideMark/>
          </w:tcPr>
          <w:p w:rsidR="002F1C4A" w:rsidRPr="002F1C4A" w:rsidRDefault="002F1C4A" w:rsidP="002F1C4A">
            <w:pPr>
              <w:jc w:val="center"/>
              <w:rPr>
                <w:rFonts w:ascii="Calibri" w:eastAsia="Times New Roman" w:hAnsi="Calibri" w:cs="Times New Roman"/>
                <w:color w:val="000000"/>
                <w:lang w:val="en-US"/>
              </w:rPr>
            </w:pPr>
            <w:r w:rsidRPr="002F1C4A">
              <w:rPr>
                <w:rFonts w:ascii="Calibri" w:eastAsia="Times New Roman" w:hAnsi="Calibri" w:cs="Times New Roman"/>
                <w:color w:val="000000"/>
                <w:lang w:val="en-US"/>
              </w:rPr>
              <w:t>35</w:t>
            </w:r>
          </w:p>
        </w:tc>
        <w:tc>
          <w:tcPr>
            <w:tcW w:w="1585" w:type="dxa"/>
            <w:noWrap/>
            <w:vAlign w:val="center"/>
            <w:hideMark/>
          </w:tcPr>
          <w:p w:rsidR="002F1C4A" w:rsidRPr="002F1C4A" w:rsidRDefault="002F1C4A" w:rsidP="002F1C4A">
            <w:pPr>
              <w:jc w:val="center"/>
              <w:rPr>
                <w:rFonts w:ascii="Calibri" w:eastAsia="Times New Roman" w:hAnsi="Calibri" w:cs="Times New Roman"/>
                <w:color w:val="000000"/>
                <w:lang w:val="en-US"/>
              </w:rPr>
            </w:pPr>
            <w:r w:rsidRPr="002F1C4A">
              <w:rPr>
                <w:rFonts w:ascii="Calibri" w:eastAsia="Times New Roman" w:hAnsi="Calibri" w:cs="Times New Roman"/>
                <w:color w:val="000000"/>
                <w:lang w:val="en-US"/>
              </w:rPr>
              <w:t>0</w:t>
            </w:r>
          </w:p>
        </w:tc>
        <w:tc>
          <w:tcPr>
            <w:tcW w:w="1585" w:type="dxa"/>
            <w:noWrap/>
            <w:vAlign w:val="center"/>
            <w:hideMark/>
          </w:tcPr>
          <w:p w:rsidR="002F1C4A" w:rsidRPr="002F1C4A" w:rsidRDefault="002F1C4A" w:rsidP="002F1C4A">
            <w:pPr>
              <w:jc w:val="center"/>
              <w:rPr>
                <w:rFonts w:ascii="Calibri" w:eastAsia="Times New Roman" w:hAnsi="Calibri" w:cs="Times New Roman"/>
                <w:color w:val="000000"/>
                <w:lang w:val="en-US"/>
              </w:rPr>
            </w:pPr>
            <w:r w:rsidRPr="002F1C4A">
              <w:rPr>
                <w:rFonts w:ascii="Calibri" w:eastAsia="Times New Roman" w:hAnsi="Calibri" w:cs="Times New Roman"/>
                <w:color w:val="000000"/>
                <w:lang w:val="en-US"/>
              </w:rPr>
              <w:t>50</w:t>
            </w:r>
          </w:p>
        </w:tc>
      </w:tr>
      <w:tr w:rsidR="002F1C4A" w:rsidRPr="002F1C4A" w:rsidTr="00C41F79">
        <w:trPr>
          <w:trHeight w:val="310"/>
          <w:jc w:val="center"/>
        </w:trPr>
        <w:tc>
          <w:tcPr>
            <w:tcW w:w="3699" w:type="dxa"/>
            <w:noWrap/>
            <w:hideMark/>
          </w:tcPr>
          <w:p w:rsidR="002F1C4A" w:rsidRPr="002F1C4A" w:rsidRDefault="002F1C4A" w:rsidP="002F1C4A">
            <w:pPr>
              <w:rPr>
                <w:rFonts w:ascii="Calibri" w:eastAsia="Times New Roman" w:hAnsi="Calibri" w:cs="Times New Roman"/>
                <w:b/>
                <w:bCs/>
                <w:color w:val="000000"/>
                <w:lang w:val="en-US"/>
              </w:rPr>
            </w:pPr>
            <w:r w:rsidRPr="002F1C4A">
              <w:rPr>
                <w:rFonts w:ascii="Calibri" w:eastAsia="Times New Roman" w:hAnsi="Calibri" w:cs="Times New Roman"/>
                <w:b/>
                <w:bCs/>
                <w:color w:val="000000"/>
                <w:lang w:val="en-US"/>
              </w:rPr>
              <w:t>Number of participants</w:t>
            </w:r>
          </w:p>
        </w:tc>
        <w:tc>
          <w:tcPr>
            <w:tcW w:w="1585" w:type="dxa"/>
            <w:noWrap/>
            <w:vAlign w:val="center"/>
            <w:hideMark/>
          </w:tcPr>
          <w:p w:rsidR="002F1C4A" w:rsidRPr="002F1C4A" w:rsidRDefault="002F1C4A" w:rsidP="002F1C4A">
            <w:pPr>
              <w:jc w:val="center"/>
              <w:rPr>
                <w:rFonts w:ascii="Calibri" w:eastAsia="Times New Roman" w:hAnsi="Calibri" w:cs="Times New Roman"/>
                <w:color w:val="000000"/>
                <w:lang w:val="en-US"/>
              </w:rPr>
            </w:pPr>
            <w:r w:rsidRPr="002F1C4A">
              <w:rPr>
                <w:rFonts w:ascii="Calibri" w:eastAsia="Times New Roman" w:hAnsi="Calibri" w:cs="Times New Roman"/>
                <w:color w:val="000000"/>
                <w:lang w:val="en-US"/>
              </w:rPr>
              <w:t>100</w:t>
            </w:r>
          </w:p>
        </w:tc>
        <w:tc>
          <w:tcPr>
            <w:tcW w:w="1585" w:type="dxa"/>
            <w:noWrap/>
            <w:vAlign w:val="center"/>
            <w:hideMark/>
          </w:tcPr>
          <w:p w:rsidR="002F1C4A" w:rsidRPr="002F1C4A" w:rsidRDefault="002F1C4A" w:rsidP="002F1C4A">
            <w:pPr>
              <w:jc w:val="center"/>
              <w:rPr>
                <w:rFonts w:ascii="Calibri" w:eastAsia="Times New Roman" w:hAnsi="Calibri" w:cs="Times New Roman"/>
                <w:color w:val="000000"/>
                <w:lang w:val="en-US"/>
              </w:rPr>
            </w:pPr>
            <w:r w:rsidRPr="002F1C4A">
              <w:rPr>
                <w:rFonts w:ascii="Calibri" w:eastAsia="Times New Roman" w:hAnsi="Calibri" w:cs="Times New Roman"/>
                <w:color w:val="000000"/>
                <w:lang w:val="en-US"/>
              </w:rPr>
              <w:t>100</w:t>
            </w:r>
          </w:p>
        </w:tc>
        <w:tc>
          <w:tcPr>
            <w:tcW w:w="1585" w:type="dxa"/>
            <w:noWrap/>
            <w:vAlign w:val="center"/>
            <w:hideMark/>
          </w:tcPr>
          <w:p w:rsidR="002F1C4A" w:rsidRPr="002F1C4A" w:rsidRDefault="002F1C4A" w:rsidP="002F1C4A">
            <w:pPr>
              <w:jc w:val="center"/>
              <w:rPr>
                <w:rFonts w:ascii="Calibri" w:eastAsia="Times New Roman" w:hAnsi="Calibri" w:cs="Times New Roman"/>
                <w:color w:val="000000"/>
                <w:lang w:val="en-US"/>
              </w:rPr>
            </w:pPr>
            <w:r w:rsidRPr="002F1C4A">
              <w:rPr>
                <w:rFonts w:ascii="Calibri" w:eastAsia="Times New Roman" w:hAnsi="Calibri" w:cs="Times New Roman"/>
                <w:color w:val="000000"/>
                <w:lang w:val="en-US"/>
              </w:rPr>
              <w:t>100</w:t>
            </w:r>
          </w:p>
        </w:tc>
      </w:tr>
    </w:tbl>
    <w:p w:rsidR="002F1C4A" w:rsidRDefault="002F1C4A" w:rsidP="002F1C4A">
      <w:pPr>
        <w:rPr>
          <w:lang w:val="en-GB"/>
        </w:rPr>
      </w:pPr>
    </w:p>
    <w:p w:rsidR="00C41F79" w:rsidRDefault="00C41F79" w:rsidP="00F123A2">
      <w:pPr>
        <w:jc w:val="both"/>
        <w:rPr>
          <w:lang w:val="en-GB"/>
        </w:rPr>
      </w:pPr>
      <w:r>
        <w:rPr>
          <w:lang w:val="en-GB"/>
        </w:rPr>
        <w:t xml:space="preserve">The employment rate of participants </w:t>
      </w:r>
      <w:r w:rsidR="008308E2">
        <w:rPr>
          <w:lang w:val="en-GB"/>
        </w:rPr>
        <w:t xml:space="preserve">in 2017 is zero, because during this year they all participated in the trainings. In 2016, one year before the training, the employment rate of participants was 35 percent. </w:t>
      </w:r>
      <w:r w:rsidR="00A6271C">
        <w:rPr>
          <w:lang w:val="en-GB"/>
        </w:rPr>
        <w:t>The employment rate of participants one year after the training is 50 percent. The difference in the employment rate of participants in 2018 to the employment rate in 2016 is 15 percentage points (50-35). This can be, under some strong assumptions, considered to be the impact of the participation in this particular training programme on the emp</w:t>
      </w:r>
      <w:r w:rsidR="00F123A2">
        <w:rPr>
          <w:lang w:val="en-GB"/>
        </w:rPr>
        <w:t xml:space="preserve">loyment rate of participants.  </w:t>
      </w:r>
    </w:p>
    <w:p w:rsidR="00F123A2" w:rsidRDefault="00F123A2" w:rsidP="00AE68A9">
      <w:pPr>
        <w:jc w:val="both"/>
        <w:rPr>
          <w:lang w:val="en-GB"/>
        </w:rPr>
      </w:pPr>
      <w:r>
        <w:rPr>
          <w:lang w:val="en-GB"/>
        </w:rPr>
        <w:t xml:space="preserve">A paired t-test could be used to determine the statistical significance of the difference. As a result, we could </w:t>
      </w:r>
      <w:r w:rsidR="00AE68A9">
        <w:rPr>
          <w:lang w:val="en-GB"/>
        </w:rPr>
        <w:t>answer our evaluation question. This way of answering the evaluation question rests on assumptions, which are not acceptable in the contemporary policy evaluation. For example it assumes there is no change in the economic conditions, which may have affected the outcome differently in the two different periods. In other words, if the</w:t>
      </w:r>
      <w:r w:rsidR="005D6DD5">
        <w:rPr>
          <w:lang w:val="en-GB"/>
        </w:rPr>
        <w:t>re</w:t>
      </w:r>
      <w:r w:rsidR="00AE68A9">
        <w:rPr>
          <w:lang w:val="en-GB"/>
        </w:rPr>
        <w:t xml:space="preserve"> was an economic downturn </w:t>
      </w:r>
      <w:r w:rsidR="005D6DD5">
        <w:rPr>
          <w:lang w:val="en-GB"/>
        </w:rPr>
        <w:t xml:space="preserve">in 2016, with the overall </w:t>
      </w:r>
      <w:r w:rsidR="005D6DD5">
        <w:rPr>
          <w:lang w:val="en-GB"/>
        </w:rPr>
        <w:lastRenderedPageBreak/>
        <w:t>employment rate</w:t>
      </w:r>
      <w:r w:rsidR="00AE68A9">
        <w:rPr>
          <w:lang w:val="en-GB"/>
        </w:rPr>
        <w:t xml:space="preserve"> </w:t>
      </w:r>
      <w:r w:rsidR="005D6DD5">
        <w:rPr>
          <w:lang w:val="en-GB"/>
        </w:rPr>
        <w:t>in the country was being pressed down and in contrast an economic recovery in 2018 pushing the overall employment rate upwards, this could have influenced the results.</w:t>
      </w:r>
    </w:p>
    <w:p w:rsidR="00372186" w:rsidRDefault="005D6DD5" w:rsidP="005D6DD5">
      <w:pPr>
        <w:rPr>
          <w:lang w:val="en-GB"/>
        </w:rPr>
      </w:pPr>
      <w:r>
        <w:rPr>
          <w:lang w:val="en-GB"/>
        </w:rPr>
        <w:t xml:space="preserve">For this reason, statistical techniques more sophisticated than a t-test are usually used. </w:t>
      </w:r>
    </w:p>
    <w:p w:rsidR="005D6DD5" w:rsidRDefault="005D6DD5" w:rsidP="005D6DD5">
      <w:pPr>
        <w:pStyle w:val="Heading2"/>
        <w:rPr>
          <w:lang w:val="en-GB"/>
        </w:rPr>
      </w:pPr>
      <w:r>
        <w:rPr>
          <w:lang w:val="en-GB"/>
        </w:rPr>
        <w:t>Overview of the usual counterfactual impact evaluation techniques</w:t>
      </w:r>
    </w:p>
    <w:p w:rsidR="005D6DD5" w:rsidRDefault="005D6DD5" w:rsidP="00752851">
      <w:pPr>
        <w:jc w:val="both"/>
        <w:rPr>
          <w:lang w:val="en-GB"/>
        </w:rPr>
      </w:pPr>
      <w:r>
        <w:rPr>
          <w:lang w:val="en-GB"/>
        </w:rPr>
        <w:t xml:space="preserve">The term counterfactual impact evaluation techniques roofs over a set of statistical methods applicable to answer the question </w:t>
      </w:r>
      <w:r w:rsidR="00DC7D2C">
        <w:rPr>
          <w:lang w:val="en-GB"/>
        </w:rPr>
        <w:t xml:space="preserve">what is the impact of a public policy, when compared to a counterfactual situation. </w:t>
      </w:r>
      <w:r w:rsidR="00E333AA">
        <w:rPr>
          <w:lang w:val="en-GB"/>
        </w:rPr>
        <w:t xml:space="preserve">The counterfactual situation is a hypothetical situation, when the training participant would not participate in the training. </w:t>
      </w:r>
      <w:r w:rsidR="00092077">
        <w:rPr>
          <w:lang w:val="en-GB"/>
        </w:rPr>
        <w:t xml:space="preserve">The quantification of the impact of a programme is based on the difference between the value of the selected outcome of the participant during the evaluation period to the counterfactual outcome the participant would achieve hadn’t he participated in the programme. </w:t>
      </w:r>
      <w:r w:rsidR="00DC7D2C">
        <w:rPr>
          <w:lang w:val="en-GB"/>
        </w:rPr>
        <w:t xml:space="preserve"> </w:t>
      </w:r>
      <w:r>
        <w:rPr>
          <w:lang w:val="en-GB"/>
        </w:rPr>
        <w:t xml:space="preserve">  </w:t>
      </w:r>
    </w:p>
    <w:p w:rsidR="00092077" w:rsidRDefault="00092077" w:rsidP="00752851">
      <w:pPr>
        <w:jc w:val="both"/>
        <w:rPr>
          <w:lang w:val="en-GB"/>
        </w:rPr>
      </w:pPr>
      <m:oMathPara>
        <m:oMath>
          <m:r>
            <w:rPr>
              <w:rFonts w:ascii="Cambria Math" w:hAnsi="Cambria Math"/>
              <w:lang w:val="en-GB"/>
            </w:rPr>
            <m:t xml:space="preserve">Impact of the programme=OP- </m:t>
          </m:r>
          <m:r>
            <m:rPr>
              <m:sty m:val="p"/>
            </m:rPr>
            <w:rPr>
              <w:rFonts w:ascii="Cambria Math" w:hAnsi="Cambria Math"/>
              <w:lang w:val="en-GB"/>
            </w:rPr>
            <m:t>OC</m:t>
          </m:r>
        </m:oMath>
      </m:oMathPara>
    </w:p>
    <w:p w:rsidR="000641BD" w:rsidRDefault="000641BD" w:rsidP="00752851">
      <w:pPr>
        <w:jc w:val="both"/>
        <w:rPr>
          <w:lang w:val="en-GB"/>
        </w:rPr>
      </w:pPr>
      <w:r>
        <w:rPr>
          <w:lang w:val="en-GB"/>
        </w:rPr>
        <w:t xml:space="preserve">Where OP is the outcome of the participant observed during the evaluation period; for example the employment status or income of the participant 12 months after the successful participation in the programme. </w:t>
      </w:r>
    </w:p>
    <w:p w:rsidR="000641BD" w:rsidRDefault="000641BD" w:rsidP="00752851">
      <w:pPr>
        <w:jc w:val="both"/>
        <w:rPr>
          <w:lang w:val="en-GB"/>
        </w:rPr>
      </w:pPr>
      <w:r>
        <w:rPr>
          <w:lang w:val="en-GB"/>
        </w:rPr>
        <w:t>While the OC is the outcome of the participant in the counterfactual situation. We are not able to observe this outcome, but there are techniques able to provide an approximation of OC, after adopting additional assumptions. This is the purpose of the techniques of the counterfactual impact evaluation</w:t>
      </w:r>
      <w:r w:rsidR="00D5624C">
        <w:rPr>
          <w:lang w:val="en-GB"/>
        </w:rPr>
        <w:t xml:space="preserve"> (CIE)</w:t>
      </w:r>
      <w:r>
        <w:rPr>
          <w:lang w:val="en-GB"/>
        </w:rPr>
        <w:t xml:space="preserve">. Each of the techniques adopts a different set of assumptions. </w:t>
      </w:r>
    </w:p>
    <w:p w:rsidR="00725960" w:rsidRDefault="00D5624C" w:rsidP="00752851">
      <w:pPr>
        <w:jc w:val="both"/>
        <w:rPr>
          <w:lang w:val="en-GB"/>
        </w:rPr>
      </w:pPr>
      <w:r>
        <w:rPr>
          <w:lang w:val="en-GB"/>
        </w:rPr>
        <w:t>CIE the techniques are by the literature usually divided into the techniques relying on estimating the counterfactual outcome relying on the information observed for participants and eligible non-participants</w:t>
      </w:r>
      <w:r w:rsidR="00725960">
        <w:rPr>
          <w:lang w:val="en-GB"/>
        </w:rPr>
        <w:t xml:space="preserve"> and those which do not rely on this information. </w:t>
      </w:r>
    </w:p>
    <w:p w:rsidR="00595753" w:rsidRDefault="000641BD" w:rsidP="00752851">
      <w:pPr>
        <w:jc w:val="both"/>
        <w:rPr>
          <w:lang w:val="en-GB"/>
        </w:rPr>
      </w:pPr>
      <w:r>
        <w:rPr>
          <w:lang w:val="en-GB"/>
        </w:rPr>
        <w:t>The most straightforward approach is to estimate</w:t>
      </w:r>
      <w:r w:rsidR="00D5624C">
        <w:rPr>
          <w:lang w:val="en-GB"/>
        </w:rPr>
        <w:t xml:space="preserve"> the value </w:t>
      </w:r>
      <w:r w:rsidR="00725960">
        <w:rPr>
          <w:lang w:val="en-GB"/>
        </w:rPr>
        <w:t xml:space="preserve">of the counterfactual outcome using a </w:t>
      </w:r>
      <w:r w:rsidR="00725960" w:rsidRPr="00725960">
        <w:rPr>
          <w:b/>
          <w:bCs/>
          <w:lang w:val="en-GB"/>
        </w:rPr>
        <w:t>simple linear regression model</w:t>
      </w:r>
      <w:r w:rsidR="00725960">
        <w:rPr>
          <w:lang w:val="en-GB"/>
        </w:rPr>
        <w:t xml:space="preserve"> estimated on the population of participants and eligible non-participants. Such regression model</w:t>
      </w:r>
      <w:r w:rsidR="00595753">
        <w:rPr>
          <w:lang w:val="en-GB"/>
        </w:rPr>
        <w:t>s</w:t>
      </w:r>
      <w:r w:rsidR="00725960">
        <w:rPr>
          <w:lang w:val="en-GB"/>
        </w:rPr>
        <w:t xml:space="preserve"> </w:t>
      </w:r>
      <w:r w:rsidR="00595753">
        <w:rPr>
          <w:lang w:val="en-GB"/>
        </w:rPr>
        <w:t xml:space="preserve">use the outcome of interest as the dependent variable and explain it with a dummy variable referring to the participation status together with a rich set of controlling variables. The regression coefficient estimated for the participation dummy variable is a quantification of the effect of the programme. </w:t>
      </w:r>
    </w:p>
    <w:p w:rsidR="0046054C" w:rsidRDefault="00595753" w:rsidP="00752851">
      <w:pPr>
        <w:jc w:val="both"/>
        <w:rPr>
          <w:lang w:val="en-GB"/>
        </w:rPr>
      </w:pPr>
      <w:r>
        <w:rPr>
          <w:lang w:val="en-GB"/>
        </w:rPr>
        <w:t xml:space="preserve">An alternative set of techniques, also relying on the observable information for participants and eligible non-participants, is based on matching. </w:t>
      </w:r>
      <w:r w:rsidRPr="00752851">
        <w:rPr>
          <w:b/>
          <w:bCs/>
          <w:lang w:val="en-GB"/>
        </w:rPr>
        <w:t xml:space="preserve">Matching </w:t>
      </w:r>
      <w:r>
        <w:rPr>
          <w:lang w:val="en-GB"/>
        </w:rPr>
        <w:t xml:space="preserve">is trying to reconstruct an experimental setting ex-post – after the participation took place. If we have data observed for both, participants as well as eligible non-participants on the </w:t>
      </w:r>
      <w:r w:rsidR="0046054C">
        <w:rPr>
          <w:lang w:val="en-GB"/>
        </w:rPr>
        <w:t xml:space="preserve">outcome of interest during the observation period, than we: </w:t>
      </w:r>
    </w:p>
    <w:p w:rsidR="0046054C" w:rsidRDefault="0046054C" w:rsidP="00752851">
      <w:pPr>
        <w:pStyle w:val="ListParagraph"/>
        <w:numPr>
          <w:ilvl w:val="0"/>
          <w:numId w:val="43"/>
        </w:numPr>
        <w:jc w:val="both"/>
        <w:rPr>
          <w:lang w:val="en-GB"/>
        </w:rPr>
      </w:pPr>
      <w:r>
        <w:rPr>
          <w:lang w:val="en-GB"/>
        </w:rPr>
        <w:t>Calculate the mean outcome of interest for the group of participants</w:t>
      </w:r>
    </w:p>
    <w:p w:rsidR="0046054C" w:rsidRDefault="0046054C" w:rsidP="00752851">
      <w:pPr>
        <w:pStyle w:val="ListParagraph"/>
        <w:numPr>
          <w:ilvl w:val="0"/>
          <w:numId w:val="43"/>
        </w:numPr>
        <w:jc w:val="both"/>
        <w:rPr>
          <w:lang w:val="en-GB"/>
        </w:rPr>
      </w:pPr>
      <w:r>
        <w:rPr>
          <w:lang w:val="en-GB"/>
        </w:rPr>
        <w:t>Create a quasi-control group from eligible non-participants</w:t>
      </w:r>
    </w:p>
    <w:p w:rsidR="0046054C" w:rsidRDefault="0046054C" w:rsidP="00752851">
      <w:pPr>
        <w:pStyle w:val="ListParagraph"/>
        <w:numPr>
          <w:ilvl w:val="0"/>
          <w:numId w:val="43"/>
        </w:numPr>
        <w:jc w:val="both"/>
        <w:rPr>
          <w:lang w:val="en-GB"/>
        </w:rPr>
      </w:pPr>
      <w:r>
        <w:rPr>
          <w:lang w:val="en-GB"/>
        </w:rPr>
        <w:t>Calculate the mean outcome of interest for the quasi-control group</w:t>
      </w:r>
    </w:p>
    <w:p w:rsidR="000641BD" w:rsidRPr="0046054C" w:rsidRDefault="0046054C" w:rsidP="00752851">
      <w:pPr>
        <w:jc w:val="both"/>
        <w:rPr>
          <w:lang w:val="en-GB"/>
        </w:rPr>
      </w:pPr>
      <w:r>
        <w:rPr>
          <w:lang w:val="en-GB"/>
        </w:rPr>
        <w:lastRenderedPageBreak/>
        <w:t xml:space="preserve">The various matching techniques differ in the way how they construct the quasi-control group. For example, </w:t>
      </w:r>
      <w:r w:rsidRPr="00752851">
        <w:rPr>
          <w:b/>
          <w:bCs/>
          <w:lang w:val="en-GB"/>
        </w:rPr>
        <w:t xml:space="preserve">exact matching </w:t>
      </w:r>
      <w:r>
        <w:rPr>
          <w:lang w:val="en-GB"/>
        </w:rPr>
        <w:t xml:space="preserve">only allows an eligible non-participant into the quasi control group if he exactly matches with one of the participants on a set of selected attributes. For example if he has the same gender, age and educational level. The </w:t>
      </w:r>
      <w:r w:rsidRPr="00752851">
        <w:rPr>
          <w:b/>
          <w:bCs/>
          <w:lang w:val="en-GB"/>
        </w:rPr>
        <w:t>propensity score matching</w:t>
      </w:r>
      <w:r>
        <w:rPr>
          <w:lang w:val="en-GB"/>
        </w:rPr>
        <w:t xml:space="preserve"> technique matches participants to non-participants on their probability score to participate in the programme.   </w:t>
      </w:r>
      <w:r w:rsidR="000641BD" w:rsidRPr="0046054C">
        <w:rPr>
          <w:lang w:val="en-GB"/>
        </w:rPr>
        <w:t xml:space="preserve"> </w:t>
      </w:r>
    </w:p>
    <w:p w:rsidR="000641BD" w:rsidRDefault="0046054C" w:rsidP="00752851">
      <w:pPr>
        <w:jc w:val="both"/>
        <w:rPr>
          <w:lang w:val="en-GB"/>
        </w:rPr>
      </w:pPr>
      <w:r w:rsidRPr="00752851">
        <w:rPr>
          <w:b/>
          <w:bCs/>
          <w:lang w:val="en-GB"/>
        </w:rPr>
        <w:t>The difference in differences</w:t>
      </w:r>
      <w:r>
        <w:rPr>
          <w:lang w:val="en-GB"/>
        </w:rPr>
        <w:t xml:space="preserve"> technique relies on the difference in the outcome of participants and non-participants in time before the participation and than the same difference computed in the period after the participation. This techniques is robust to potentially unobservable differences in the two sub-groups, but has to make additional assumption on the shared trend, jointly affecting both participants and non-participants outcomes in time before and after the participation in the programme.  </w:t>
      </w:r>
    </w:p>
    <w:p w:rsidR="005D6DD5" w:rsidRDefault="0046054C" w:rsidP="00752851">
      <w:pPr>
        <w:jc w:val="both"/>
        <w:rPr>
          <w:lang w:val="en-GB"/>
        </w:rPr>
      </w:pPr>
      <w:r w:rsidRPr="00752851">
        <w:rPr>
          <w:b/>
          <w:bCs/>
          <w:lang w:val="en-GB"/>
        </w:rPr>
        <w:t xml:space="preserve">The </w:t>
      </w:r>
      <w:r w:rsidR="00CF2FB6" w:rsidRPr="00752851">
        <w:rPr>
          <w:b/>
          <w:bCs/>
          <w:lang w:val="en-GB"/>
        </w:rPr>
        <w:t xml:space="preserve">regression discontinuity design </w:t>
      </w:r>
      <w:r w:rsidR="00CF2FB6">
        <w:rPr>
          <w:lang w:val="en-GB"/>
        </w:rPr>
        <w:t xml:space="preserve">relies on a break in a variable which is crucial for the participation decision. A classic example is when there is a selection into the training programme based on a score from a test organized before the programme. If there is a strict threshold applied in the decision whether to allow participation this can be used to compare the outcomes of participants with the score </w:t>
      </w:r>
      <w:r w:rsidR="00BA6036">
        <w:rPr>
          <w:lang w:val="en-GB"/>
        </w:rPr>
        <w:t xml:space="preserve">slightly above the threshold to the non-participants with a score just slightly below the threshold necessary for the participation to be granted. </w:t>
      </w:r>
    </w:p>
    <w:p w:rsidR="00752851" w:rsidRPr="00372186" w:rsidRDefault="00752851" w:rsidP="00580ECF">
      <w:pPr>
        <w:jc w:val="both"/>
        <w:rPr>
          <w:lang w:val="en-GB"/>
        </w:rPr>
      </w:pPr>
      <w:r>
        <w:rPr>
          <w:lang w:val="en-GB"/>
        </w:rPr>
        <w:t xml:space="preserve">The last CIE technique mentioned here is a two-step regression analysis based on an instrumental variable. In case of this technique, two regression models are estimated jointly using the product and error term from the first equation in the second. The principle of the technique relies on the existence of an non-formal exclusion criteria potentially employable to track exogenous variance in the participation decision. For example </w:t>
      </w:r>
      <w:r w:rsidR="00580ECF">
        <w:rPr>
          <w:lang w:val="en-GB"/>
        </w:rPr>
        <w:t xml:space="preserve">if the programme was not available in one region or in a period of time due to budgetary constraints. Those eligible non-participants present in the time in that region were excluded from participation not because they would not be willing or able to participate, but because it was not available to them. The contrast with these observations is used to estimate the effect of the participation on the observed outcomes. </w:t>
      </w:r>
      <w:r>
        <w:rPr>
          <w:lang w:val="en-GB"/>
        </w:rPr>
        <w:t xml:space="preserve">    </w:t>
      </w:r>
    </w:p>
    <w:p w:rsidR="00C7238F" w:rsidRDefault="00580ECF" w:rsidP="00580ECF">
      <w:pPr>
        <w:pStyle w:val="Heading4"/>
        <w:numPr>
          <w:ilvl w:val="0"/>
          <w:numId w:val="0"/>
        </w:numPr>
        <w:ind w:left="864" w:hanging="864"/>
        <w:rPr>
          <w:lang w:val="en-GB"/>
        </w:rPr>
      </w:pPr>
      <w:r>
        <w:rPr>
          <w:lang w:val="en-GB"/>
        </w:rPr>
        <w:t xml:space="preserve">Example 6: Run a linear regression model to estimate the impact of the rururb variable in the SWTS dataset. </w:t>
      </w:r>
    </w:p>
    <w:p w:rsidR="00580ECF" w:rsidRPr="00403F2A" w:rsidRDefault="00580ECF" w:rsidP="00580ECF">
      <w:pPr>
        <w:rPr>
          <w:lang w:val="en-GB"/>
        </w:rPr>
      </w:pPr>
      <w:r w:rsidRPr="00154250">
        <w:rPr>
          <w:lang w:val="en-GB"/>
        </w:rPr>
        <w:t xml:space="preserve">Data: </w:t>
      </w:r>
      <w:r>
        <w:rPr>
          <w:lang w:val="en-GB"/>
        </w:rPr>
        <w:t>Sub-selection from the Jordan School-to-Work Transition Survey 2015</w:t>
      </w:r>
      <w:r w:rsidRPr="00154250">
        <w:rPr>
          <w:lang w:val="en-GB"/>
        </w:rPr>
        <w:t xml:space="preserve"> (File: </w:t>
      </w:r>
      <w:r>
        <w:rPr>
          <w:lang w:val="en-GB"/>
        </w:rPr>
        <w:t>SWTS2015</w:t>
      </w:r>
      <w:r w:rsidRPr="00154250">
        <w:rPr>
          <w:lang w:val="en-GB"/>
        </w:rPr>
        <w:t>_E</w:t>
      </w:r>
      <w:r>
        <w:rPr>
          <w:lang w:val="en-GB"/>
        </w:rPr>
        <w:t>6</w:t>
      </w:r>
      <w:r w:rsidRPr="00154250">
        <w:rPr>
          <w:lang w:val="en-GB"/>
        </w:rPr>
        <w:t>.xlsx)</w:t>
      </w:r>
    </w:p>
    <w:p w:rsidR="00580ECF" w:rsidRDefault="00580ECF" w:rsidP="00C7238F">
      <w:pPr>
        <w:rPr>
          <w:lang w:val="en-GB"/>
        </w:rPr>
      </w:pPr>
    </w:p>
    <w:p w:rsidR="00580ECF" w:rsidRDefault="00580ECF" w:rsidP="00C7238F">
      <w:pPr>
        <w:rPr>
          <w:lang w:val="en-GB"/>
        </w:rPr>
      </w:pPr>
    </w:p>
    <w:p w:rsidR="00580ECF" w:rsidRDefault="00580ECF" w:rsidP="00C7238F">
      <w:pPr>
        <w:rPr>
          <w:lang w:val="en-GB"/>
        </w:rPr>
      </w:pPr>
    </w:p>
    <w:p w:rsidR="00580ECF" w:rsidRDefault="00580ECF" w:rsidP="00C7238F">
      <w:pPr>
        <w:rPr>
          <w:lang w:val="en-GB"/>
        </w:rPr>
      </w:pPr>
    </w:p>
    <w:p w:rsidR="00580ECF" w:rsidRDefault="00580ECF" w:rsidP="00C7238F">
      <w:pPr>
        <w:rPr>
          <w:lang w:val="en-GB"/>
        </w:rPr>
      </w:pPr>
    </w:p>
    <w:p w:rsidR="00580ECF" w:rsidRDefault="00580ECF" w:rsidP="00C7238F">
      <w:pPr>
        <w:rPr>
          <w:lang w:val="en-GB"/>
        </w:rPr>
      </w:pPr>
    </w:p>
    <w:p w:rsidR="00C7238F" w:rsidRDefault="00752851" w:rsidP="00580ECF">
      <w:pPr>
        <w:pStyle w:val="Heading1"/>
        <w:numPr>
          <w:ilvl w:val="0"/>
          <w:numId w:val="0"/>
        </w:numPr>
        <w:ind w:left="432"/>
        <w:rPr>
          <w:lang w:val="en-GB"/>
        </w:rPr>
      </w:pPr>
      <w:r>
        <w:rPr>
          <w:lang w:val="en-GB"/>
        </w:rPr>
        <w:lastRenderedPageBreak/>
        <w:t>References</w:t>
      </w:r>
      <w:r w:rsidR="003964F6">
        <w:rPr>
          <w:lang w:val="en-GB"/>
        </w:rPr>
        <w:t xml:space="preserve"> and suggested reading</w:t>
      </w:r>
      <w:r>
        <w:rPr>
          <w:lang w:val="en-GB"/>
        </w:rPr>
        <w:t xml:space="preserve">: </w:t>
      </w:r>
    </w:p>
    <w:p w:rsidR="008440E9" w:rsidRDefault="008440E9" w:rsidP="0023730F">
      <w:pPr>
        <w:rPr>
          <w:lang w:val="en-GB"/>
        </w:rPr>
      </w:pPr>
    </w:p>
    <w:p w:rsidR="0023730F" w:rsidRDefault="0023730F" w:rsidP="0023730F">
      <w:pPr>
        <w:rPr>
          <w:lang w:val="en-GB"/>
        </w:rPr>
      </w:pPr>
      <w:r>
        <w:rPr>
          <w:lang w:val="en-GB"/>
        </w:rPr>
        <w:t>EUROPEAN COMMISSION (201</w:t>
      </w:r>
      <w:r w:rsidR="008440E9">
        <w:rPr>
          <w:lang w:val="en-GB"/>
        </w:rPr>
        <w:t>3</w:t>
      </w:r>
      <w:r>
        <w:rPr>
          <w:lang w:val="en-GB"/>
        </w:rPr>
        <w:t xml:space="preserve">) </w:t>
      </w:r>
      <w:r w:rsidR="008440E9" w:rsidRPr="008440E9">
        <w:rPr>
          <w:lang w:val="en-GB"/>
        </w:rPr>
        <w:t>EVALSED - The resource for the evaluation of Socio-Economic Development : Sourcebook - Method and techniques</w:t>
      </w:r>
      <w:r w:rsidRPr="008440E9">
        <w:rPr>
          <w:lang w:val="en-GB"/>
        </w:rPr>
        <w:t>,</w:t>
      </w:r>
      <w:r>
        <w:rPr>
          <w:lang w:val="en-GB"/>
        </w:rPr>
        <w:t xml:space="preserve"> Online: </w:t>
      </w:r>
    </w:p>
    <w:p w:rsidR="008440E9" w:rsidRPr="0023730F" w:rsidRDefault="00624FEF" w:rsidP="0023730F">
      <w:pPr>
        <w:rPr>
          <w:lang w:val="en-GB"/>
        </w:rPr>
      </w:pPr>
      <w:hyperlink r:id="rId12" w:history="1">
        <w:r w:rsidR="008440E9" w:rsidRPr="00BE2DD1">
          <w:rPr>
            <w:rStyle w:val="Hyperlink"/>
            <w:lang w:val="en-GB"/>
          </w:rPr>
          <w:t>https://ec.europa.eu/regional_policy/sources/docgener/evaluation/guide/evaluation_sourcebook.pdf</w:t>
        </w:r>
      </w:hyperlink>
      <w:r w:rsidR="008440E9">
        <w:rPr>
          <w:lang w:val="en-GB"/>
        </w:rPr>
        <w:t xml:space="preserve"> </w:t>
      </w:r>
    </w:p>
    <w:p w:rsidR="0023730F" w:rsidRDefault="0023730F" w:rsidP="0023730F">
      <w:pPr>
        <w:rPr>
          <w:lang w:val="en-GB"/>
        </w:rPr>
      </w:pPr>
    </w:p>
    <w:p w:rsidR="0023730F" w:rsidRPr="0023730F" w:rsidRDefault="0023730F" w:rsidP="0023730F">
      <w:pPr>
        <w:rPr>
          <w:lang w:val="en-GB"/>
        </w:rPr>
      </w:pPr>
      <w:r>
        <w:rPr>
          <w:lang w:val="en-GB"/>
        </w:rPr>
        <w:t xml:space="preserve">EUROPEAN COMMISSION (2016) Performance management in PES, Online: </w:t>
      </w:r>
    </w:p>
    <w:p w:rsidR="0023730F" w:rsidRDefault="00624FEF" w:rsidP="0023730F">
      <w:pPr>
        <w:rPr>
          <w:rStyle w:val="Hyperlink"/>
          <w:lang w:val="sk-SK"/>
        </w:rPr>
      </w:pPr>
      <w:hyperlink r:id="rId13" w:history="1">
        <w:r w:rsidR="0023730F" w:rsidRPr="00CB4E8E">
          <w:rPr>
            <w:rStyle w:val="Hyperlink"/>
            <w:lang w:val="sk-SK"/>
          </w:rPr>
          <w:t>https://publications.europa.eu/en/publication-detail/-/publication/ff6b4d45-ec36-11e6-ad7c-01aa75ed71a1/language-en</w:t>
        </w:r>
      </w:hyperlink>
    </w:p>
    <w:p w:rsidR="008440E9" w:rsidRDefault="008440E9" w:rsidP="0023730F">
      <w:pPr>
        <w:rPr>
          <w:lang w:val="en-GB"/>
        </w:rPr>
      </w:pPr>
    </w:p>
    <w:p w:rsidR="0023730F" w:rsidRDefault="0023730F" w:rsidP="0023730F">
      <w:pPr>
        <w:rPr>
          <w:lang w:val="en-GB"/>
        </w:rPr>
      </w:pPr>
      <w:r>
        <w:rPr>
          <w:lang w:val="en-GB"/>
        </w:rPr>
        <w:t xml:space="preserve">EUROSTAT (2014) </w:t>
      </w:r>
      <w:r w:rsidRPr="0023730F">
        <w:rPr>
          <w:lang w:val="en-GB"/>
        </w:rPr>
        <w:t>Towards a harmonised methodology for statistical indicators — Part</w:t>
      </w:r>
      <w:r>
        <w:rPr>
          <w:lang w:val="en-GB"/>
        </w:rPr>
        <w:t>s</w:t>
      </w:r>
      <w:r w:rsidRPr="0023730F">
        <w:rPr>
          <w:lang w:val="en-GB"/>
        </w:rPr>
        <w:t xml:space="preserve"> 1: Indicator typologies and terminologies - 2014 edition</w:t>
      </w:r>
      <w:r>
        <w:rPr>
          <w:lang w:val="en-GB"/>
        </w:rPr>
        <w:t>, Online:</w:t>
      </w:r>
    </w:p>
    <w:p w:rsidR="0023730F" w:rsidRDefault="00624FEF" w:rsidP="0023730F">
      <w:pPr>
        <w:rPr>
          <w:lang w:val="en-GB"/>
        </w:rPr>
      </w:pPr>
      <w:hyperlink r:id="rId14" w:history="1">
        <w:r w:rsidR="0023730F" w:rsidRPr="00BE2DD1">
          <w:rPr>
            <w:rStyle w:val="Hyperlink"/>
            <w:lang w:val="en-GB"/>
          </w:rPr>
          <w:t>https://ec.europa.eu/eurostat/documents/3859598/5937481/KS-GQ-14-011-EN.PDF/82855e3b-bb6e-498a-a177-07e7884e9bcb</w:t>
        </w:r>
      </w:hyperlink>
      <w:r w:rsidR="0023730F">
        <w:rPr>
          <w:lang w:val="en-GB"/>
        </w:rPr>
        <w:t xml:space="preserve"> </w:t>
      </w:r>
    </w:p>
    <w:p w:rsidR="0023730F" w:rsidRDefault="0023730F" w:rsidP="0023730F">
      <w:pPr>
        <w:rPr>
          <w:lang w:val="en-GB"/>
        </w:rPr>
      </w:pPr>
    </w:p>
    <w:p w:rsidR="0023730F" w:rsidRPr="0023730F" w:rsidRDefault="0023730F" w:rsidP="0023730F">
      <w:pPr>
        <w:rPr>
          <w:lang w:val="en-GB"/>
        </w:rPr>
      </w:pPr>
      <w:r>
        <w:rPr>
          <w:lang w:val="en-GB"/>
        </w:rPr>
        <w:t xml:space="preserve">EUROSTAT (2014) </w:t>
      </w:r>
      <w:r w:rsidRPr="0023730F">
        <w:rPr>
          <w:lang w:val="en-GB"/>
        </w:rPr>
        <w:t>Towards a harmonised methodology for statistical indicators — Part 3: Relevance for policy making</w:t>
      </w:r>
      <w:r>
        <w:rPr>
          <w:lang w:val="en-GB"/>
        </w:rPr>
        <w:t xml:space="preserve">, Online: </w:t>
      </w:r>
    </w:p>
    <w:p w:rsidR="002808AB" w:rsidRPr="008440E9" w:rsidRDefault="00624FEF" w:rsidP="008440E9">
      <w:pPr>
        <w:rPr>
          <w:rStyle w:val="Hyperlink"/>
          <w:color w:val="auto"/>
          <w:u w:val="none"/>
          <w:lang w:val="en-GB"/>
        </w:rPr>
      </w:pPr>
      <w:hyperlink r:id="rId15" w:history="1">
        <w:r w:rsidR="0023730F" w:rsidRPr="00BE2DD1">
          <w:rPr>
            <w:rStyle w:val="Hyperlink"/>
            <w:lang w:val="en-GB"/>
          </w:rPr>
          <w:t>https://ec.europa.eu/eurostat/documents/3859598/8071770/KS-GQ-17-007-EN-N.pdf/7d34c904-2d07-4e71-bd6f-8fe9ee373b60</w:t>
        </w:r>
      </w:hyperlink>
      <w:r w:rsidR="0023730F">
        <w:rPr>
          <w:lang w:val="en-GB"/>
        </w:rPr>
        <w:t xml:space="preserve"> </w:t>
      </w:r>
    </w:p>
    <w:sectPr w:rsidR="002808AB" w:rsidRPr="008440E9" w:rsidSect="009B5511">
      <w:footerReference w:type="default" r:id="rId16"/>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F" w:rsidRDefault="00624FEF" w:rsidP="001D0251">
      <w:pPr>
        <w:spacing w:after="0" w:line="240" w:lineRule="auto"/>
      </w:pPr>
      <w:r>
        <w:separator/>
      </w:r>
    </w:p>
  </w:endnote>
  <w:endnote w:type="continuationSeparator" w:id="0">
    <w:p w:rsidR="00624FEF" w:rsidRDefault="00624FEF"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EC Square Sans Cond Pro">
    <w:altName w:val="EC Square Sans Cond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25939"/>
      <w:docPartObj>
        <w:docPartGallery w:val="Page Numbers (Bottom of Page)"/>
        <w:docPartUnique/>
      </w:docPartObj>
    </w:sdtPr>
    <w:sdtEndPr/>
    <w:sdtContent>
      <w:p w:rsidR="003B5BE4" w:rsidRDefault="003B5BE4">
        <w:pPr>
          <w:pStyle w:val="Footer"/>
          <w:jc w:val="right"/>
        </w:pPr>
        <w:r>
          <w:fldChar w:fldCharType="begin"/>
        </w:r>
        <w:r>
          <w:instrText xml:space="preserve"> PAGE   \* MERGEFORMAT </w:instrText>
        </w:r>
        <w:r>
          <w:fldChar w:fldCharType="separate"/>
        </w:r>
        <w:r w:rsidR="00B358D4">
          <w:rPr>
            <w:noProof/>
          </w:rPr>
          <w:t>1</w:t>
        </w:r>
        <w:r>
          <w:fldChar w:fldCharType="end"/>
        </w:r>
      </w:p>
    </w:sdtContent>
  </w:sdt>
  <w:p w:rsidR="003B5BE4" w:rsidRDefault="003B5B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F" w:rsidRDefault="00624FEF" w:rsidP="001D0251">
      <w:pPr>
        <w:spacing w:after="0" w:line="240" w:lineRule="auto"/>
      </w:pPr>
      <w:r>
        <w:separator/>
      </w:r>
    </w:p>
  </w:footnote>
  <w:footnote w:type="continuationSeparator" w:id="0">
    <w:p w:rsidR="00624FEF" w:rsidRDefault="00624FEF" w:rsidP="001D0251">
      <w:pPr>
        <w:spacing w:after="0" w:line="240" w:lineRule="auto"/>
      </w:pPr>
      <w:r>
        <w:continuationSeparator/>
      </w:r>
    </w:p>
  </w:footnote>
  <w:footnote w:id="1">
    <w:p w:rsidR="00400608" w:rsidRPr="00400608" w:rsidRDefault="00400608">
      <w:pPr>
        <w:pStyle w:val="FootnoteText"/>
        <w:rPr>
          <w:lang w:val="sk-SK"/>
        </w:rPr>
      </w:pPr>
      <w:r>
        <w:rPr>
          <w:rStyle w:val="FootnoteReference"/>
        </w:rPr>
        <w:footnoteRef/>
      </w:r>
      <w:r>
        <w:t xml:space="preserve"> </w:t>
      </w:r>
      <w:hyperlink r:id="rId1" w:history="1">
        <w:r w:rsidRPr="00154250">
          <w:rPr>
            <w:rStyle w:val="Hyperlink"/>
            <w:lang w:val="en-GB"/>
          </w:rPr>
          <w:t>https://ec.europa.eu/eurostat/documents/3859598/8071770/KS-GQ-17-007-EN-N.pdf/7d34c904-2d07-4e71-bd6f-8fe9ee373b60</w:t>
        </w:r>
      </w:hyperlink>
    </w:p>
  </w:footnote>
  <w:footnote w:id="2">
    <w:p w:rsidR="00A236E5" w:rsidRPr="00A236E5" w:rsidRDefault="00A236E5" w:rsidP="00A236E5">
      <w:pPr>
        <w:pStyle w:val="FootnoteText"/>
        <w:rPr>
          <w:lang w:val="sk-SK"/>
        </w:rPr>
      </w:pPr>
      <w:r>
        <w:rPr>
          <w:rStyle w:val="FootnoteReference"/>
        </w:rPr>
        <w:footnoteRef/>
      </w:r>
      <w:r>
        <w:t xml:space="preserve"> </w:t>
      </w:r>
      <w:r>
        <w:rPr>
          <w:lang w:val="sk-SK"/>
        </w:rPr>
        <w:t xml:space="preserve">Definitions based on: </w:t>
      </w:r>
      <w:hyperlink r:id="rId2" w:history="1">
        <w:r w:rsidRPr="00CB4E8E">
          <w:rPr>
            <w:rStyle w:val="Hyperlink"/>
            <w:lang w:val="sk-SK"/>
          </w:rPr>
          <w:t>https://publications.europa.eu/en/publication-detail/-/publication/ff6b4d45-ec36-11e6-ad7c-01aa75ed71a1/language-en</w:t>
        </w:r>
      </w:hyperlink>
      <w:r>
        <w:rPr>
          <w:lang w:val="sk-SK"/>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E22E4"/>
    <w:multiLevelType w:val="hybridMultilevel"/>
    <w:tmpl w:val="853A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318DA"/>
    <w:multiLevelType w:val="hybridMultilevel"/>
    <w:tmpl w:val="5F1C1A6C"/>
    <w:lvl w:ilvl="0" w:tplc="DE8A1668">
      <w:start w:val="1"/>
      <w:numFmt w:val="decimal"/>
      <w:lvlText w:val="%1"/>
      <w:lvlJc w:val="left"/>
      <w:pPr>
        <w:ind w:left="720" w:hanging="360"/>
      </w:pPr>
      <w:rPr>
        <w:rFonts w:hint="default"/>
      </w:rPr>
    </w:lvl>
    <w:lvl w:ilvl="1" w:tplc="DE8A1668">
      <w:start w:val="1"/>
      <w:numFmt w:val="decimal"/>
      <w:lvlText w:val="%2"/>
      <w:lvlJc w:val="left"/>
      <w:pPr>
        <w:ind w:left="5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34509"/>
    <w:multiLevelType w:val="hybridMultilevel"/>
    <w:tmpl w:val="3CD8BAE6"/>
    <w:lvl w:ilvl="0" w:tplc="D0A6FE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C050E"/>
    <w:multiLevelType w:val="hybridMultilevel"/>
    <w:tmpl w:val="8A4E53A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31ABD"/>
    <w:multiLevelType w:val="hybridMultilevel"/>
    <w:tmpl w:val="8BCCBA80"/>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15:restartNumberingAfterBreak="0">
    <w:nsid w:val="1D5D36E3"/>
    <w:multiLevelType w:val="hybridMultilevel"/>
    <w:tmpl w:val="D22C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E01F9"/>
    <w:multiLevelType w:val="hybridMultilevel"/>
    <w:tmpl w:val="80CCA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D288E"/>
    <w:multiLevelType w:val="hybridMultilevel"/>
    <w:tmpl w:val="1EC0263C"/>
    <w:lvl w:ilvl="0" w:tplc="DE8A1668">
      <w:start w:val="1"/>
      <w:numFmt w:val="decimal"/>
      <w:lvlText w:val="%1"/>
      <w:lvlJc w:val="left"/>
      <w:pPr>
        <w:ind w:left="5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8" w15:restartNumberingAfterBreak="0">
    <w:nsid w:val="1FB22CA8"/>
    <w:multiLevelType w:val="multilevel"/>
    <w:tmpl w:val="7982D85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8B2819"/>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8478A4"/>
    <w:multiLevelType w:val="hybridMultilevel"/>
    <w:tmpl w:val="A874057A"/>
    <w:lvl w:ilvl="0" w:tplc="BDF2727E">
      <w:start w:val="1"/>
      <w:numFmt w:val="lowerRoman"/>
      <w:lvlText w:val="%1."/>
      <w:lvlJc w:val="left"/>
      <w:pPr>
        <w:ind w:left="2148" w:hanging="720"/>
      </w:pPr>
      <w:rPr>
        <w:rFonts w:hint="default"/>
      </w:r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11" w15:restartNumberingAfterBreak="0">
    <w:nsid w:val="299C0A0A"/>
    <w:multiLevelType w:val="hybridMultilevel"/>
    <w:tmpl w:val="BB008348"/>
    <w:lvl w:ilvl="0" w:tplc="04090017">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DD2BDA"/>
    <w:multiLevelType w:val="multilevel"/>
    <w:tmpl w:val="0CC40A3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FC37D76"/>
    <w:multiLevelType w:val="hybridMultilevel"/>
    <w:tmpl w:val="C98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C3DF1"/>
    <w:multiLevelType w:val="hybridMultilevel"/>
    <w:tmpl w:val="1A9C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23096"/>
    <w:multiLevelType w:val="hybridMultilevel"/>
    <w:tmpl w:val="077C5C44"/>
    <w:lvl w:ilvl="0" w:tplc="04090001">
      <w:start w:val="1"/>
      <w:numFmt w:val="bullet"/>
      <w:lvlText w:val=""/>
      <w:lvlJc w:val="left"/>
      <w:pPr>
        <w:ind w:left="508" w:hanging="360"/>
      </w:pPr>
      <w:rPr>
        <w:rFonts w:ascii="Symbol" w:hAnsi="Symbol" w:hint="default"/>
      </w:rPr>
    </w:lvl>
    <w:lvl w:ilvl="1" w:tplc="04090003" w:tentative="1">
      <w:start w:val="1"/>
      <w:numFmt w:val="bullet"/>
      <w:lvlText w:val="o"/>
      <w:lvlJc w:val="left"/>
      <w:pPr>
        <w:ind w:left="1228" w:hanging="360"/>
      </w:pPr>
      <w:rPr>
        <w:rFonts w:ascii="Courier New" w:hAnsi="Courier New" w:cs="Courier New" w:hint="default"/>
      </w:rPr>
    </w:lvl>
    <w:lvl w:ilvl="2" w:tplc="04090005" w:tentative="1">
      <w:start w:val="1"/>
      <w:numFmt w:val="bullet"/>
      <w:lvlText w:val=""/>
      <w:lvlJc w:val="left"/>
      <w:pPr>
        <w:ind w:left="1948" w:hanging="360"/>
      </w:pPr>
      <w:rPr>
        <w:rFonts w:ascii="Wingdings" w:hAnsi="Wingdings" w:hint="default"/>
      </w:rPr>
    </w:lvl>
    <w:lvl w:ilvl="3" w:tplc="04090001" w:tentative="1">
      <w:start w:val="1"/>
      <w:numFmt w:val="bullet"/>
      <w:lvlText w:val=""/>
      <w:lvlJc w:val="left"/>
      <w:pPr>
        <w:ind w:left="2668" w:hanging="360"/>
      </w:pPr>
      <w:rPr>
        <w:rFonts w:ascii="Symbol" w:hAnsi="Symbol" w:hint="default"/>
      </w:rPr>
    </w:lvl>
    <w:lvl w:ilvl="4" w:tplc="04090003" w:tentative="1">
      <w:start w:val="1"/>
      <w:numFmt w:val="bullet"/>
      <w:lvlText w:val="o"/>
      <w:lvlJc w:val="left"/>
      <w:pPr>
        <w:ind w:left="3388" w:hanging="360"/>
      </w:pPr>
      <w:rPr>
        <w:rFonts w:ascii="Courier New" w:hAnsi="Courier New" w:cs="Courier New" w:hint="default"/>
      </w:rPr>
    </w:lvl>
    <w:lvl w:ilvl="5" w:tplc="04090005" w:tentative="1">
      <w:start w:val="1"/>
      <w:numFmt w:val="bullet"/>
      <w:lvlText w:val=""/>
      <w:lvlJc w:val="left"/>
      <w:pPr>
        <w:ind w:left="4108" w:hanging="360"/>
      </w:pPr>
      <w:rPr>
        <w:rFonts w:ascii="Wingdings" w:hAnsi="Wingdings" w:hint="default"/>
      </w:rPr>
    </w:lvl>
    <w:lvl w:ilvl="6" w:tplc="04090001" w:tentative="1">
      <w:start w:val="1"/>
      <w:numFmt w:val="bullet"/>
      <w:lvlText w:val=""/>
      <w:lvlJc w:val="left"/>
      <w:pPr>
        <w:ind w:left="4828" w:hanging="360"/>
      </w:pPr>
      <w:rPr>
        <w:rFonts w:ascii="Symbol" w:hAnsi="Symbol" w:hint="default"/>
      </w:rPr>
    </w:lvl>
    <w:lvl w:ilvl="7" w:tplc="04090003" w:tentative="1">
      <w:start w:val="1"/>
      <w:numFmt w:val="bullet"/>
      <w:lvlText w:val="o"/>
      <w:lvlJc w:val="left"/>
      <w:pPr>
        <w:ind w:left="5548" w:hanging="360"/>
      </w:pPr>
      <w:rPr>
        <w:rFonts w:ascii="Courier New" w:hAnsi="Courier New" w:cs="Courier New" w:hint="default"/>
      </w:rPr>
    </w:lvl>
    <w:lvl w:ilvl="8" w:tplc="04090005" w:tentative="1">
      <w:start w:val="1"/>
      <w:numFmt w:val="bullet"/>
      <w:lvlText w:val=""/>
      <w:lvlJc w:val="left"/>
      <w:pPr>
        <w:ind w:left="6268" w:hanging="360"/>
      </w:pPr>
      <w:rPr>
        <w:rFonts w:ascii="Wingdings" w:hAnsi="Wingdings" w:hint="default"/>
      </w:rPr>
    </w:lvl>
  </w:abstractNum>
  <w:abstractNum w:abstractNumId="16" w15:restartNumberingAfterBreak="0">
    <w:nsid w:val="36BA410D"/>
    <w:multiLevelType w:val="hybridMultilevel"/>
    <w:tmpl w:val="A692C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7C5BCB"/>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A30E65"/>
    <w:multiLevelType w:val="hybridMultilevel"/>
    <w:tmpl w:val="4A620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766395"/>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B40AB6"/>
    <w:multiLevelType w:val="hybridMultilevel"/>
    <w:tmpl w:val="A06E159C"/>
    <w:lvl w:ilvl="0" w:tplc="D6725A68">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B6B8B"/>
    <w:multiLevelType w:val="hybridMultilevel"/>
    <w:tmpl w:val="26865DF0"/>
    <w:lvl w:ilvl="0" w:tplc="6EFC5764">
      <w:start w:val="1"/>
      <w:numFmt w:val="bullet"/>
      <w:lvlText w:val="-"/>
      <w:lvlJc w:val="left"/>
      <w:pPr>
        <w:ind w:left="-261" w:hanging="360"/>
      </w:pPr>
      <w:rPr>
        <w:rFonts w:ascii="Times New Roman" w:eastAsia="Calibri" w:hAnsi="Times New Roman" w:cs="Times New Roman" w:hint="default"/>
      </w:rPr>
    </w:lvl>
    <w:lvl w:ilvl="1" w:tplc="6EFC5764">
      <w:start w:val="1"/>
      <w:numFmt w:val="bullet"/>
      <w:lvlText w:val="-"/>
      <w:lvlJc w:val="left"/>
      <w:pPr>
        <w:ind w:left="459" w:hanging="360"/>
      </w:pPr>
      <w:rPr>
        <w:rFonts w:ascii="Times New Roman" w:eastAsia="Calibri" w:hAnsi="Times New Roman" w:cs="Times New Roman" w:hint="default"/>
      </w:rPr>
    </w:lvl>
    <w:lvl w:ilvl="2" w:tplc="04090005" w:tentative="1">
      <w:start w:val="1"/>
      <w:numFmt w:val="bullet"/>
      <w:lvlText w:val=""/>
      <w:lvlJc w:val="left"/>
      <w:pPr>
        <w:ind w:left="1179" w:hanging="360"/>
      </w:pPr>
      <w:rPr>
        <w:rFonts w:ascii="Wingdings" w:hAnsi="Wingdings" w:hint="default"/>
      </w:rPr>
    </w:lvl>
    <w:lvl w:ilvl="3" w:tplc="04090001" w:tentative="1">
      <w:start w:val="1"/>
      <w:numFmt w:val="bullet"/>
      <w:lvlText w:val=""/>
      <w:lvlJc w:val="left"/>
      <w:pPr>
        <w:ind w:left="1899" w:hanging="360"/>
      </w:pPr>
      <w:rPr>
        <w:rFonts w:ascii="Symbol" w:hAnsi="Symbol" w:hint="default"/>
      </w:rPr>
    </w:lvl>
    <w:lvl w:ilvl="4" w:tplc="04090003" w:tentative="1">
      <w:start w:val="1"/>
      <w:numFmt w:val="bullet"/>
      <w:lvlText w:val="o"/>
      <w:lvlJc w:val="left"/>
      <w:pPr>
        <w:ind w:left="2619" w:hanging="360"/>
      </w:pPr>
      <w:rPr>
        <w:rFonts w:ascii="Courier New" w:hAnsi="Courier New" w:cs="Courier New" w:hint="default"/>
      </w:rPr>
    </w:lvl>
    <w:lvl w:ilvl="5" w:tplc="04090005" w:tentative="1">
      <w:start w:val="1"/>
      <w:numFmt w:val="bullet"/>
      <w:lvlText w:val=""/>
      <w:lvlJc w:val="left"/>
      <w:pPr>
        <w:ind w:left="3339" w:hanging="360"/>
      </w:pPr>
      <w:rPr>
        <w:rFonts w:ascii="Wingdings" w:hAnsi="Wingdings" w:hint="default"/>
      </w:rPr>
    </w:lvl>
    <w:lvl w:ilvl="6" w:tplc="04090001" w:tentative="1">
      <w:start w:val="1"/>
      <w:numFmt w:val="bullet"/>
      <w:lvlText w:val=""/>
      <w:lvlJc w:val="left"/>
      <w:pPr>
        <w:ind w:left="4059" w:hanging="360"/>
      </w:pPr>
      <w:rPr>
        <w:rFonts w:ascii="Symbol" w:hAnsi="Symbol" w:hint="default"/>
      </w:rPr>
    </w:lvl>
    <w:lvl w:ilvl="7" w:tplc="04090003" w:tentative="1">
      <w:start w:val="1"/>
      <w:numFmt w:val="bullet"/>
      <w:lvlText w:val="o"/>
      <w:lvlJc w:val="left"/>
      <w:pPr>
        <w:ind w:left="4779" w:hanging="360"/>
      </w:pPr>
      <w:rPr>
        <w:rFonts w:ascii="Courier New" w:hAnsi="Courier New" w:cs="Courier New" w:hint="default"/>
      </w:rPr>
    </w:lvl>
    <w:lvl w:ilvl="8" w:tplc="04090005" w:tentative="1">
      <w:start w:val="1"/>
      <w:numFmt w:val="bullet"/>
      <w:lvlText w:val=""/>
      <w:lvlJc w:val="left"/>
      <w:pPr>
        <w:ind w:left="5499" w:hanging="360"/>
      </w:pPr>
      <w:rPr>
        <w:rFonts w:ascii="Wingdings" w:hAnsi="Wingdings" w:hint="default"/>
      </w:rPr>
    </w:lvl>
  </w:abstractNum>
  <w:abstractNum w:abstractNumId="22" w15:restartNumberingAfterBreak="0">
    <w:nsid w:val="465160A8"/>
    <w:multiLevelType w:val="hybridMultilevel"/>
    <w:tmpl w:val="D178A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06374"/>
    <w:multiLevelType w:val="hybridMultilevel"/>
    <w:tmpl w:val="2C40E4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514113"/>
    <w:multiLevelType w:val="hybridMultilevel"/>
    <w:tmpl w:val="5B427B86"/>
    <w:lvl w:ilvl="0" w:tplc="D26637A6">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20C36"/>
    <w:multiLevelType w:val="hybridMultilevel"/>
    <w:tmpl w:val="5D8E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201CF7"/>
    <w:multiLevelType w:val="hybridMultilevel"/>
    <w:tmpl w:val="D3AA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456E5"/>
    <w:multiLevelType w:val="multilevel"/>
    <w:tmpl w:val="7EA02EE2"/>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5A110F5E"/>
    <w:multiLevelType w:val="hybridMultilevel"/>
    <w:tmpl w:val="9A728816"/>
    <w:lvl w:ilvl="0" w:tplc="1C88181E">
      <w:start w:val="1"/>
      <w:numFmt w:val="decimal"/>
      <w:lvlText w:val="%1."/>
      <w:lvlJc w:val="left"/>
      <w:pPr>
        <w:tabs>
          <w:tab w:val="num" w:pos="720"/>
        </w:tabs>
        <w:ind w:left="720" w:hanging="360"/>
      </w:pPr>
    </w:lvl>
    <w:lvl w:ilvl="1" w:tplc="97DC5EE6" w:tentative="1">
      <w:start w:val="1"/>
      <w:numFmt w:val="decimal"/>
      <w:lvlText w:val="%2."/>
      <w:lvlJc w:val="left"/>
      <w:pPr>
        <w:tabs>
          <w:tab w:val="num" w:pos="1440"/>
        </w:tabs>
        <w:ind w:left="1440" w:hanging="360"/>
      </w:pPr>
    </w:lvl>
    <w:lvl w:ilvl="2" w:tplc="F9AE272E" w:tentative="1">
      <w:start w:val="1"/>
      <w:numFmt w:val="decimal"/>
      <w:lvlText w:val="%3."/>
      <w:lvlJc w:val="left"/>
      <w:pPr>
        <w:tabs>
          <w:tab w:val="num" w:pos="2160"/>
        </w:tabs>
        <w:ind w:left="2160" w:hanging="360"/>
      </w:pPr>
    </w:lvl>
    <w:lvl w:ilvl="3" w:tplc="55E478E0" w:tentative="1">
      <w:start w:val="1"/>
      <w:numFmt w:val="decimal"/>
      <w:lvlText w:val="%4."/>
      <w:lvlJc w:val="left"/>
      <w:pPr>
        <w:tabs>
          <w:tab w:val="num" w:pos="2880"/>
        </w:tabs>
        <w:ind w:left="2880" w:hanging="360"/>
      </w:pPr>
    </w:lvl>
    <w:lvl w:ilvl="4" w:tplc="C18CA2DA" w:tentative="1">
      <w:start w:val="1"/>
      <w:numFmt w:val="decimal"/>
      <w:lvlText w:val="%5."/>
      <w:lvlJc w:val="left"/>
      <w:pPr>
        <w:tabs>
          <w:tab w:val="num" w:pos="3600"/>
        </w:tabs>
        <w:ind w:left="3600" w:hanging="360"/>
      </w:pPr>
    </w:lvl>
    <w:lvl w:ilvl="5" w:tplc="0A9EAECC" w:tentative="1">
      <w:start w:val="1"/>
      <w:numFmt w:val="decimal"/>
      <w:lvlText w:val="%6."/>
      <w:lvlJc w:val="left"/>
      <w:pPr>
        <w:tabs>
          <w:tab w:val="num" w:pos="4320"/>
        </w:tabs>
        <w:ind w:left="4320" w:hanging="360"/>
      </w:pPr>
    </w:lvl>
    <w:lvl w:ilvl="6" w:tplc="56B02B34" w:tentative="1">
      <w:start w:val="1"/>
      <w:numFmt w:val="decimal"/>
      <w:lvlText w:val="%7."/>
      <w:lvlJc w:val="left"/>
      <w:pPr>
        <w:tabs>
          <w:tab w:val="num" w:pos="5040"/>
        </w:tabs>
        <w:ind w:left="5040" w:hanging="360"/>
      </w:pPr>
    </w:lvl>
    <w:lvl w:ilvl="7" w:tplc="ED162702" w:tentative="1">
      <w:start w:val="1"/>
      <w:numFmt w:val="decimal"/>
      <w:lvlText w:val="%8."/>
      <w:lvlJc w:val="left"/>
      <w:pPr>
        <w:tabs>
          <w:tab w:val="num" w:pos="5760"/>
        </w:tabs>
        <w:ind w:left="5760" w:hanging="360"/>
      </w:pPr>
    </w:lvl>
    <w:lvl w:ilvl="8" w:tplc="C8304C82" w:tentative="1">
      <w:start w:val="1"/>
      <w:numFmt w:val="decimal"/>
      <w:lvlText w:val="%9."/>
      <w:lvlJc w:val="left"/>
      <w:pPr>
        <w:tabs>
          <w:tab w:val="num" w:pos="6480"/>
        </w:tabs>
        <w:ind w:left="6480" w:hanging="360"/>
      </w:pPr>
    </w:lvl>
  </w:abstractNum>
  <w:abstractNum w:abstractNumId="29" w15:restartNumberingAfterBreak="0">
    <w:nsid w:val="5C5B5981"/>
    <w:multiLevelType w:val="hybridMultilevel"/>
    <w:tmpl w:val="CA8E3856"/>
    <w:lvl w:ilvl="0" w:tplc="6436E5BA">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DB94981"/>
    <w:multiLevelType w:val="hybridMultilevel"/>
    <w:tmpl w:val="2A7E680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E13562"/>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FB0EB7"/>
    <w:multiLevelType w:val="hybridMultilevel"/>
    <w:tmpl w:val="46B4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3F37E4"/>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7334B5"/>
    <w:multiLevelType w:val="hybridMultilevel"/>
    <w:tmpl w:val="7DDA932A"/>
    <w:lvl w:ilvl="0" w:tplc="2110D0D4">
      <w:start w:val="1"/>
      <w:numFmt w:val="bullet"/>
      <w:lvlText w:val="–"/>
      <w:lvlJc w:val="left"/>
      <w:pPr>
        <w:tabs>
          <w:tab w:val="num" w:pos="720"/>
        </w:tabs>
        <w:ind w:left="720" w:hanging="360"/>
      </w:pPr>
      <w:rPr>
        <w:rFonts w:ascii="Arial" w:hAnsi="Arial" w:hint="default"/>
      </w:rPr>
    </w:lvl>
    <w:lvl w:ilvl="1" w:tplc="FACE65A8">
      <w:start w:val="1"/>
      <w:numFmt w:val="bullet"/>
      <w:lvlText w:val="–"/>
      <w:lvlJc w:val="left"/>
      <w:pPr>
        <w:tabs>
          <w:tab w:val="num" w:pos="1440"/>
        </w:tabs>
        <w:ind w:left="1440" w:hanging="360"/>
      </w:pPr>
      <w:rPr>
        <w:rFonts w:ascii="Arial" w:hAnsi="Arial" w:hint="default"/>
      </w:rPr>
    </w:lvl>
    <w:lvl w:ilvl="2" w:tplc="654E024E" w:tentative="1">
      <w:start w:val="1"/>
      <w:numFmt w:val="bullet"/>
      <w:lvlText w:val="–"/>
      <w:lvlJc w:val="left"/>
      <w:pPr>
        <w:tabs>
          <w:tab w:val="num" w:pos="2160"/>
        </w:tabs>
        <w:ind w:left="2160" w:hanging="360"/>
      </w:pPr>
      <w:rPr>
        <w:rFonts w:ascii="Arial" w:hAnsi="Arial" w:hint="default"/>
      </w:rPr>
    </w:lvl>
    <w:lvl w:ilvl="3" w:tplc="E2FA41BE" w:tentative="1">
      <w:start w:val="1"/>
      <w:numFmt w:val="bullet"/>
      <w:lvlText w:val="–"/>
      <w:lvlJc w:val="left"/>
      <w:pPr>
        <w:tabs>
          <w:tab w:val="num" w:pos="2880"/>
        </w:tabs>
        <w:ind w:left="2880" w:hanging="360"/>
      </w:pPr>
      <w:rPr>
        <w:rFonts w:ascii="Arial" w:hAnsi="Arial" w:hint="default"/>
      </w:rPr>
    </w:lvl>
    <w:lvl w:ilvl="4" w:tplc="9C808B88" w:tentative="1">
      <w:start w:val="1"/>
      <w:numFmt w:val="bullet"/>
      <w:lvlText w:val="–"/>
      <w:lvlJc w:val="left"/>
      <w:pPr>
        <w:tabs>
          <w:tab w:val="num" w:pos="3600"/>
        </w:tabs>
        <w:ind w:left="3600" w:hanging="360"/>
      </w:pPr>
      <w:rPr>
        <w:rFonts w:ascii="Arial" w:hAnsi="Arial" w:hint="default"/>
      </w:rPr>
    </w:lvl>
    <w:lvl w:ilvl="5" w:tplc="5476CD4C" w:tentative="1">
      <w:start w:val="1"/>
      <w:numFmt w:val="bullet"/>
      <w:lvlText w:val="–"/>
      <w:lvlJc w:val="left"/>
      <w:pPr>
        <w:tabs>
          <w:tab w:val="num" w:pos="4320"/>
        </w:tabs>
        <w:ind w:left="4320" w:hanging="360"/>
      </w:pPr>
      <w:rPr>
        <w:rFonts w:ascii="Arial" w:hAnsi="Arial" w:hint="default"/>
      </w:rPr>
    </w:lvl>
    <w:lvl w:ilvl="6" w:tplc="5C967086" w:tentative="1">
      <w:start w:val="1"/>
      <w:numFmt w:val="bullet"/>
      <w:lvlText w:val="–"/>
      <w:lvlJc w:val="left"/>
      <w:pPr>
        <w:tabs>
          <w:tab w:val="num" w:pos="5040"/>
        </w:tabs>
        <w:ind w:left="5040" w:hanging="360"/>
      </w:pPr>
      <w:rPr>
        <w:rFonts w:ascii="Arial" w:hAnsi="Arial" w:hint="default"/>
      </w:rPr>
    </w:lvl>
    <w:lvl w:ilvl="7" w:tplc="57D644CC" w:tentative="1">
      <w:start w:val="1"/>
      <w:numFmt w:val="bullet"/>
      <w:lvlText w:val="–"/>
      <w:lvlJc w:val="left"/>
      <w:pPr>
        <w:tabs>
          <w:tab w:val="num" w:pos="5760"/>
        </w:tabs>
        <w:ind w:left="5760" w:hanging="360"/>
      </w:pPr>
      <w:rPr>
        <w:rFonts w:ascii="Arial" w:hAnsi="Arial" w:hint="default"/>
      </w:rPr>
    </w:lvl>
    <w:lvl w:ilvl="8" w:tplc="957423E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8A7DD6"/>
    <w:multiLevelType w:val="multilevel"/>
    <w:tmpl w:val="5BD0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99361B"/>
    <w:multiLevelType w:val="hybridMultilevel"/>
    <w:tmpl w:val="94143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4769BD"/>
    <w:multiLevelType w:val="hybridMultilevel"/>
    <w:tmpl w:val="0CB27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672874"/>
    <w:multiLevelType w:val="hybridMultilevel"/>
    <w:tmpl w:val="49CC742E"/>
    <w:lvl w:ilvl="0" w:tplc="91D4101E">
      <w:start w:val="1"/>
      <w:numFmt w:val="bullet"/>
      <w:lvlText w:val="•"/>
      <w:lvlJc w:val="left"/>
      <w:pPr>
        <w:tabs>
          <w:tab w:val="num" w:pos="720"/>
        </w:tabs>
        <w:ind w:left="720" w:hanging="360"/>
      </w:pPr>
      <w:rPr>
        <w:rFonts w:ascii="Arial" w:hAnsi="Arial" w:hint="default"/>
      </w:rPr>
    </w:lvl>
    <w:lvl w:ilvl="1" w:tplc="C5FAA3AE">
      <w:start w:val="1"/>
      <w:numFmt w:val="bullet"/>
      <w:lvlText w:val="•"/>
      <w:lvlJc w:val="left"/>
      <w:pPr>
        <w:tabs>
          <w:tab w:val="num" w:pos="1440"/>
        </w:tabs>
        <w:ind w:left="1440" w:hanging="360"/>
      </w:pPr>
      <w:rPr>
        <w:rFonts w:ascii="Arial" w:hAnsi="Arial" w:hint="default"/>
      </w:rPr>
    </w:lvl>
    <w:lvl w:ilvl="2" w:tplc="CAC6A1E8" w:tentative="1">
      <w:start w:val="1"/>
      <w:numFmt w:val="bullet"/>
      <w:lvlText w:val="•"/>
      <w:lvlJc w:val="left"/>
      <w:pPr>
        <w:tabs>
          <w:tab w:val="num" w:pos="2160"/>
        </w:tabs>
        <w:ind w:left="2160" w:hanging="360"/>
      </w:pPr>
      <w:rPr>
        <w:rFonts w:ascii="Arial" w:hAnsi="Arial" w:hint="default"/>
      </w:rPr>
    </w:lvl>
    <w:lvl w:ilvl="3" w:tplc="ED7EA590" w:tentative="1">
      <w:start w:val="1"/>
      <w:numFmt w:val="bullet"/>
      <w:lvlText w:val="•"/>
      <w:lvlJc w:val="left"/>
      <w:pPr>
        <w:tabs>
          <w:tab w:val="num" w:pos="2880"/>
        </w:tabs>
        <w:ind w:left="2880" w:hanging="360"/>
      </w:pPr>
      <w:rPr>
        <w:rFonts w:ascii="Arial" w:hAnsi="Arial" w:hint="default"/>
      </w:rPr>
    </w:lvl>
    <w:lvl w:ilvl="4" w:tplc="3946C3DC" w:tentative="1">
      <w:start w:val="1"/>
      <w:numFmt w:val="bullet"/>
      <w:lvlText w:val="•"/>
      <w:lvlJc w:val="left"/>
      <w:pPr>
        <w:tabs>
          <w:tab w:val="num" w:pos="3600"/>
        </w:tabs>
        <w:ind w:left="3600" w:hanging="360"/>
      </w:pPr>
      <w:rPr>
        <w:rFonts w:ascii="Arial" w:hAnsi="Arial" w:hint="default"/>
      </w:rPr>
    </w:lvl>
    <w:lvl w:ilvl="5" w:tplc="406273BE" w:tentative="1">
      <w:start w:val="1"/>
      <w:numFmt w:val="bullet"/>
      <w:lvlText w:val="•"/>
      <w:lvlJc w:val="left"/>
      <w:pPr>
        <w:tabs>
          <w:tab w:val="num" w:pos="4320"/>
        </w:tabs>
        <w:ind w:left="4320" w:hanging="360"/>
      </w:pPr>
      <w:rPr>
        <w:rFonts w:ascii="Arial" w:hAnsi="Arial" w:hint="default"/>
      </w:rPr>
    </w:lvl>
    <w:lvl w:ilvl="6" w:tplc="9C168796" w:tentative="1">
      <w:start w:val="1"/>
      <w:numFmt w:val="bullet"/>
      <w:lvlText w:val="•"/>
      <w:lvlJc w:val="left"/>
      <w:pPr>
        <w:tabs>
          <w:tab w:val="num" w:pos="5040"/>
        </w:tabs>
        <w:ind w:left="5040" w:hanging="360"/>
      </w:pPr>
      <w:rPr>
        <w:rFonts w:ascii="Arial" w:hAnsi="Arial" w:hint="default"/>
      </w:rPr>
    </w:lvl>
    <w:lvl w:ilvl="7" w:tplc="2DC67F88" w:tentative="1">
      <w:start w:val="1"/>
      <w:numFmt w:val="bullet"/>
      <w:lvlText w:val="•"/>
      <w:lvlJc w:val="left"/>
      <w:pPr>
        <w:tabs>
          <w:tab w:val="num" w:pos="5760"/>
        </w:tabs>
        <w:ind w:left="5760" w:hanging="360"/>
      </w:pPr>
      <w:rPr>
        <w:rFonts w:ascii="Arial" w:hAnsi="Arial" w:hint="default"/>
      </w:rPr>
    </w:lvl>
    <w:lvl w:ilvl="8" w:tplc="FF92261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AB5784"/>
    <w:multiLevelType w:val="hybridMultilevel"/>
    <w:tmpl w:val="5A58493C"/>
    <w:lvl w:ilvl="0" w:tplc="DE8A1668">
      <w:start w:val="1"/>
      <w:numFmt w:val="decimal"/>
      <w:lvlText w:val="%1"/>
      <w:lvlJc w:val="left"/>
      <w:pPr>
        <w:ind w:left="54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40" w15:restartNumberingAfterBreak="0">
    <w:nsid w:val="7B042A8C"/>
    <w:multiLevelType w:val="hybridMultilevel"/>
    <w:tmpl w:val="084C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86657"/>
    <w:multiLevelType w:val="hybridMultilevel"/>
    <w:tmpl w:val="CF3CE3AC"/>
    <w:lvl w:ilvl="0" w:tplc="6436E5B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
  </w:num>
  <w:num w:numId="4">
    <w:abstractNumId w:val="7"/>
  </w:num>
  <w:num w:numId="5">
    <w:abstractNumId w:val="21"/>
  </w:num>
  <w:num w:numId="6">
    <w:abstractNumId w:val="39"/>
  </w:num>
  <w:num w:numId="7">
    <w:abstractNumId w:val="8"/>
  </w:num>
  <w:num w:numId="8">
    <w:abstractNumId w:val="16"/>
  </w:num>
  <w:num w:numId="9">
    <w:abstractNumId w:val="27"/>
  </w:num>
  <w:num w:numId="10">
    <w:abstractNumId w:val="31"/>
  </w:num>
  <w:num w:numId="11">
    <w:abstractNumId w:val="17"/>
  </w:num>
  <w:num w:numId="12">
    <w:abstractNumId w:val="19"/>
  </w:num>
  <w:num w:numId="13">
    <w:abstractNumId w:val="9"/>
  </w:num>
  <w:num w:numId="14">
    <w:abstractNumId w:val="35"/>
  </w:num>
  <w:num w:numId="15">
    <w:abstractNumId w:val="33"/>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5"/>
  </w:num>
  <w:num w:numId="19">
    <w:abstractNumId w:val="37"/>
  </w:num>
  <w:num w:numId="20">
    <w:abstractNumId w:val="12"/>
  </w:num>
  <w:num w:numId="21">
    <w:abstractNumId w:val="34"/>
  </w:num>
  <w:num w:numId="22">
    <w:abstractNumId w:val="23"/>
  </w:num>
  <w:num w:numId="23">
    <w:abstractNumId w:val="6"/>
  </w:num>
  <w:num w:numId="24">
    <w:abstractNumId w:val="4"/>
  </w:num>
  <w:num w:numId="25">
    <w:abstractNumId w:val="10"/>
  </w:num>
  <w:num w:numId="26">
    <w:abstractNumId w:val="2"/>
  </w:num>
  <w:num w:numId="27">
    <w:abstractNumId w:val="3"/>
  </w:num>
  <w:num w:numId="28">
    <w:abstractNumId w:val="40"/>
  </w:num>
  <w:num w:numId="29">
    <w:abstractNumId w:val="28"/>
  </w:num>
  <w:num w:numId="30">
    <w:abstractNumId w:val="26"/>
  </w:num>
  <w:num w:numId="31">
    <w:abstractNumId w:val="0"/>
  </w:num>
  <w:num w:numId="32">
    <w:abstractNumId w:val="14"/>
  </w:num>
  <w:num w:numId="33">
    <w:abstractNumId w:val="30"/>
  </w:num>
  <w:num w:numId="34">
    <w:abstractNumId w:val="24"/>
  </w:num>
  <w:num w:numId="35">
    <w:abstractNumId w:val="20"/>
  </w:num>
  <w:num w:numId="36">
    <w:abstractNumId w:val="32"/>
  </w:num>
  <w:num w:numId="37">
    <w:abstractNumId w:val="11"/>
  </w:num>
  <w:num w:numId="38">
    <w:abstractNumId w:val="36"/>
  </w:num>
  <w:num w:numId="39">
    <w:abstractNumId w:val="41"/>
  </w:num>
  <w:num w:numId="40">
    <w:abstractNumId w:val="38"/>
  </w:num>
  <w:num w:numId="41">
    <w:abstractNumId w:val="29"/>
  </w:num>
  <w:num w:numId="42">
    <w:abstractNumId w:val="13"/>
  </w:num>
  <w:num w:numId="43">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wMLIwBLIMjIyMzJR0lIJTi4sz8/NACgxNagEXuzf9LQAAAA=="/>
  </w:docVars>
  <w:rsids>
    <w:rsidRoot w:val="006809F4"/>
    <w:rsid w:val="000038C7"/>
    <w:rsid w:val="00003DFA"/>
    <w:rsid w:val="00003F27"/>
    <w:rsid w:val="0000767A"/>
    <w:rsid w:val="00011485"/>
    <w:rsid w:val="00011C50"/>
    <w:rsid w:val="00012FAC"/>
    <w:rsid w:val="000221F4"/>
    <w:rsid w:val="000233A2"/>
    <w:rsid w:val="00027AE3"/>
    <w:rsid w:val="000319BA"/>
    <w:rsid w:val="0003240D"/>
    <w:rsid w:val="0003459A"/>
    <w:rsid w:val="00041E1C"/>
    <w:rsid w:val="00061414"/>
    <w:rsid w:val="000641BD"/>
    <w:rsid w:val="00074EC6"/>
    <w:rsid w:val="00077185"/>
    <w:rsid w:val="00081788"/>
    <w:rsid w:val="000837B2"/>
    <w:rsid w:val="00084197"/>
    <w:rsid w:val="00092077"/>
    <w:rsid w:val="000A1399"/>
    <w:rsid w:val="000A2808"/>
    <w:rsid w:val="000A578C"/>
    <w:rsid w:val="000A586E"/>
    <w:rsid w:val="000B1354"/>
    <w:rsid w:val="000B19F4"/>
    <w:rsid w:val="000B2E90"/>
    <w:rsid w:val="000B4BB2"/>
    <w:rsid w:val="000B4ECC"/>
    <w:rsid w:val="000C2EED"/>
    <w:rsid w:val="000E0F25"/>
    <w:rsid w:val="000E36AC"/>
    <w:rsid w:val="000E4B78"/>
    <w:rsid w:val="000E5673"/>
    <w:rsid w:val="000F7093"/>
    <w:rsid w:val="00106559"/>
    <w:rsid w:val="001104AE"/>
    <w:rsid w:val="00111CFE"/>
    <w:rsid w:val="00113824"/>
    <w:rsid w:val="00115A39"/>
    <w:rsid w:val="00115CFA"/>
    <w:rsid w:val="001212E2"/>
    <w:rsid w:val="00127849"/>
    <w:rsid w:val="00132105"/>
    <w:rsid w:val="00132250"/>
    <w:rsid w:val="00145E87"/>
    <w:rsid w:val="00152F25"/>
    <w:rsid w:val="00154250"/>
    <w:rsid w:val="00155088"/>
    <w:rsid w:val="00165D77"/>
    <w:rsid w:val="001676D4"/>
    <w:rsid w:val="00170956"/>
    <w:rsid w:val="00181548"/>
    <w:rsid w:val="00181D96"/>
    <w:rsid w:val="00181E73"/>
    <w:rsid w:val="00181F14"/>
    <w:rsid w:val="00183E29"/>
    <w:rsid w:val="001971B7"/>
    <w:rsid w:val="00197EE3"/>
    <w:rsid w:val="001A06F6"/>
    <w:rsid w:val="001A2C87"/>
    <w:rsid w:val="001A3250"/>
    <w:rsid w:val="001B2670"/>
    <w:rsid w:val="001B5514"/>
    <w:rsid w:val="001C1C62"/>
    <w:rsid w:val="001D0251"/>
    <w:rsid w:val="001D0F09"/>
    <w:rsid w:val="001D53CE"/>
    <w:rsid w:val="001D6877"/>
    <w:rsid w:val="001D786E"/>
    <w:rsid w:val="001D7DEA"/>
    <w:rsid w:val="001E4452"/>
    <w:rsid w:val="001E492A"/>
    <w:rsid w:val="001E5B93"/>
    <w:rsid w:val="001E6164"/>
    <w:rsid w:val="001E7D70"/>
    <w:rsid w:val="001F44EA"/>
    <w:rsid w:val="00201131"/>
    <w:rsid w:val="002044B2"/>
    <w:rsid w:val="0020575D"/>
    <w:rsid w:val="00206A09"/>
    <w:rsid w:val="00212B9F"/>
    <w:rsid w:val="00216E3F"/>
    <w:rsid w:val="002223A9"/>
    <w:rsid w:val="0022672A"/>
    <w:rsid w:val="00227052"/>
    <w:rsid w:val="0022723B"/>
    <w:rsid w:val="00236B7B"/>
    <w:rsid w:val="0023730F"/>
    <w:rsid w:val="0023761D"/>
    <w:rsid w:val="00260C2B"/>
    <w:rsid w:val="00266905"/>
    <w:rsid w:val="00267244"/>
    <w:rsid w:val="00275090"/>
    <w:rsid w:val="002808AB"/>
    <w:rsid w:val="00281108"/>
    <w:rsid w:val="00286148"/>
    <w:rsid w:val="0029129A"/>
    <w:rsid w:val="00297FF3"/>
    <w:rsid w:val="002A0A6C"/>
    <w:rsid w:val="002A41D0"/>
    <w:rsid w:val="002B0EE1"/>
    <w:rsid w:val="002B23BA"/>
    <w:rsid w:val="002B3456"/>
    <w:rsid w:val="002B3A7B"/>
    <w:rsid w:val="002C7377"/>
    <w:rsid w:val="002D32A3"/>
    <w:rsid w:val="002D782B"/>
    <w:rsid w:val="002E2584"/>
    <w:rsid w:val="002E4DB2"/>
    <w:rsid w:val="002E5BDE"/>
    <w:rsid w:val="002E6C4B"/>
    <w:rsid w:val="002F0A5C"/>
    <w:rsid w:val="002F1C4A"/>
    <w:rsid w:val="002F362C"/>
    <w:rsid w:val="002F3DB3"/>
    <w:rsid w:val="002F498D"/>
    <w:rsid w:val="002F6B92"/>
    <w:rsid w:val="003028D2"/>
    <w:rsid w:val="0031485D"/>
    <w:rsid w:val="00315385"/>
    <w:rsid w:val="00315E2E"/>
    <w:rsid w:val="00315FDD"/>
    <w:rsid w:val="00316208"/>
    <w:rsid w:val="0032081D"/>
    <w:rsid w:val="00321B32"/>
    <w:rsid w:val="003246D1"/>
    <w:rsid w:val="003362F4"/>
    <w:rsid w:val="0034476E"/>
    <w:rsid w:val="003526D9"/>
    <w:rsid w:val="00354C14"/>
    <w:rsid w:val="00354F68"/>
    <w:rsid w:val="003612B7"/>
    <w:rsid w:val="00367626"/>
    <w:rsid w:val="00370678"/>
    <w:rsid w:val="00372186"/>
    <w:rsid w:val="00380F43"/>
    <w:rsid w:val="0038342C"/>
    <w:rsid w:val="00392A1A"/>
    <w:rsid w:val="00392D42"/>
    <w:rsid w:val="0039324C"/>
    <w:rsid w:val="003964F6"/>
    <w:rsid w:val="003966EB"/>
    <w:rsid w:val="00397541"/>
    <w:rsid w:val="003A2B12"/>
    <w:rsid w:val="003A410D"/>
    <w:rsid w:val="003A56FD"/>
    <w:rsid w:val="003A62FB"/>
    <w:rsid w:val="003B50A2"/>
    <w:rsid w:val="003B5693"/>
    <w:rsid w:val="003B5BE4"/>
    <w:rsid w:val="003D049B"/>
    <w:rsid w:val="003D0613"/>
    <w:rsid w:val="003D0A6F"/>
    <w:rsid w:val="003E467C"/>
    <w:rsid w:val="003E63A9"/>
    <w:rsid w:val="003E673A"/>
    <w:rsid w:val="003F2391"/>
    <w:rsid w:val="003F3C20"/>
    <w:rsid w:val="003F5793"/>
    <w:rsid w:val="00400608"/>
    <w:rsid w:val="0040261A"/>
    <w:rsid w:val="00403F2A"/>
    <w:rsid w:val="0041525A"/>
    <w:rsid w:val="00415CFC"/>
    <w:rsid w:val="00420ED2"/>
    <w:rsid w:val="00423B6B"/>
    <w:rsid w:val="004250C0"/>
    <w:rsid w:val="00432042"/>
    <w:rsid w:val="00432D01"/>
    <w:rsid w:val="0043406F"/>
    <w:rsid w:val="004343BF"/>
    <w:rsid w:val="00442CAE"/>
    <w:rsid w:val="004528E2"/>
    <w:rsid w:val="00453B37"/>
    <w:rsid w:val="0045574A"/>
    <w:rsid w:val="0046054C"/>
    <w:rsid w:val="004615EC"/>
    <w:rsid w:val="00476764"/>
    <w:rsid w:val="00476EE3"/>
    <w:rsid w:val="004805B9"/>
    <w:rsid w:val="00481277"/>
    <w:rsid w:val="00483C46"/>
    <w:rsid w:val="004903B1"/>
    <w:rsid w:val="00492213"/>
    <w:rsid w:val="00493152"/>
    <w:rsid w:val="004954BE"/>
    <w:rsid w:val="00496E88"/>
    <w:rsid w:val="004A0E82"/>
    <w:rsid w:val="004A4F79"/>
    <w:rsid w:val="004A61AE"/>
    <w:rsid w:val="004B017A"/>
    <w:rsid w:val="004B17CA"/>
    <w:rsid w:val="004B3A51"/>
    <w:rsid w:val="004B495A"/>
    <w:rsid w:val="004B75F2"/>
    <w:rsid w:val="004C0955"/>
    <w:rsid w:val="004C7853"/>
    <w:rsid w:val="004D5F9E"/>
    <w:rsid w:val="004D6F9F"/>
    <w:rsid w:val="004E121C"/>
    <w:rsid w:val="004E760C"/>
    <w:rsid w:val="004E77DB"/>
    <w:rsid w:val="004E7C2A"/>
    <w:rsid w:val="004F1CC4"/>
    <w:rsid w:val="004F5CDA"/>
    <w:rsid w:val="004F611A"/>
    <w:rsid w:val="004F6D81"/>
    <w:rsid w:val="00503721"/>
    <w:rsid w:val="005065FE"/>
    <w:rsid w:val="0051136E"/>
    <w:rsid w:val="00514736"/>
    <w:rsid w:val="00515143"/>
    <w:rsid w:val="0052107F"/>
    <w:rsid w:val="005313F8"/>
    <w:rsid w:val="00532D2A"/>
    <w:rsid w:val="0053307A"/>
    <w:rsid w:val="00533535"/>
    <w:rsid w:val="0055169B"/>
    <w:rsid w:val="005527D7"/>
    <w:rsid w:val="0055686D"/>
    <w:rsid w:val="00570246"/>
    <w:rsid w:val="005718F0"/>
    <w:rsid w:val="00572806"/>
    <w:rsid w:val="00572FBB"/>
    <w:rsid w:val="0057515E"/>
    <w:rsid w:val="00575342"/>
    <w:rsid w:val="00577E06"/>
    <w:rsid w:val="00580ECF"/>
    <w:rsid w:val="0058260E"/>
    <w:rsid w:val="00582B38"/>
    <w:rsid w:val="00584120"/>
    <w:rsid w:val="0058446C"/>
    <w:rsid w:val="00584F7A"/>
    <w:rsid w:val="00585476"/>
    <w:rsid w:val="00592988"/>
    <w:rsid w:val="00595753"/>
    <w:rsid w:val="005967B8"/>
    <w:rsid w:val="0059726B"/>
    <w:rsid w:val="005A026E"/>
    <w:rsid w:val="005C435A"/>
    <w:rsid w:val="005C7282"/>
    <w:rsid w:val="005C76B3"/>
    <w:rsid w:val="005D0089"/>
    <w:rsid w:val="005D017B"/>
    <w:rsid w:val="005D1087"/>
    <w:rsid w:val="005D3461"/>
    <w:rsid w:val="005D69FA"/>
    <w:rsid w:val="005D6DD5"/>
    <w:rsid w:val="005D70DA"/>
    <w:rsid w:val="005D7905"/>
    <w:rsid w:val="005E0661"/>
    <w:rsid w:val="005F6037"/>
    <w:rsid w:val="00606550"/>
    <w:rsid w:val="0061534B"/>
    <w:rsid w:val="00623858"/>
    <w:rsid w:val="00624344"/>
    <w:rsid w:val="00624FEF"/>
    <w:rsid w:val="006306A7"/>
    <w:rsid w:val="00636F3F"/>
    <w:rsid w:val="0063757B"/>
    <w:rsid w:val="00637FC8"/>
    <w:rsid w:val="006428FA"/>
    <w:rsid w:val="006470A9"/>
    <w:rsid w:val="00647973"/>
    <w:rsid w:val="0065190A"/>
    <w:rsid w:val="00651A93"/>
    <w:rsid w:val="00656CEA"/>
    <w:rsid w:val="00670564"/>
    <w:rsid w:val="00673CB0"/>
    <w:rsid w:val="00674FD3"/>
    <w:rsid w:val="00675CAB"/>
    <w:rsid w:val="006809F4"/>
    <w:rsid w:val="00680A93"/>
    <w:rsid w:val="0068220F"/>
    <w:rsid w:val="00691B69"/>
    <w:rsid w:val="00692B19"/>
    <w:rsid w:val="006A0403"/>
    <w:rsid w:val="006A4094"/>
    <w:rsid w:val="006A58DF"/>
    <w:rsid w:val="006A5EDF"/>
    <w:rsid w:val="006B781E"/>
    <w:rsid w:val="006C0A74"/>
    <w:rsid w:val="006C0C74"/>
    <w:rsid w:val="006C1F7A"/>
    <w:rsid w:val="006C464B"/>
    <w:rsid w:val="006D0564"/>
    <w:rsid w:val="006D5DB0"/>
    <w:rsid w:val="006E0E6A"/>
    <w:rsid w:val="006E3C5B"/>
    <w:rsid w:val="006E3EA7"/>
    <w:rsid w:val="006E7234"/>
    <w:rsid w:val="006F5C4A"/>
    <w:rsid w:val="0070389C"/>
    <w:rsid w:val="007101E6"/>
    <w:rsid w:val="0071183F"/>
    <w:rsid w:val="00717AC0"/>
    <w:rsid w:val="00722C47"/>
    <w:rsid w:val="00725960"/>
    <w:rsid w:val="00726E0D"/>
    <w:rsid w:val="007304A2"/>
    <w:rsid w:val="00742B12"/>
    <w:rsid w:val="00744DA1"/>
    <w:rsid w:val="007460A7"/>
    <w:rsid w:val="00752851"/>
    <w:rsid w:val="00763299"/>
    <w:rsid w:val="00764967"/>
    <w:rsid w:val="0077645C"/>
    <w:rsid w:val="00776C10"/>
    <w:rsid w:val="00776F6E"/>
    <w:rsid w:val="00777C06"/>
    <w:rsid w:val="00777E36"/>
    <w:rsid w:val="00780833"/>
    <w:rsid w:val="0079135E"/>
    <w:rsid w:val="00791478"/>
    <w:rsid w:val="00794585"/>
    <w:rsid w:val="007A5BBD"/>
    <w:rsid w:val="007B25AF"/>
    <w:rsid w:val="007B558C"/>
    <w:rsid w:val="007C39F3"/>
    <w:rsid w:val="007D1387"/>
    <w:rsid w:val="007D293A"/>
    <w:rsid w:val="007D68C6"/>
    <w:rsid w:val="007F1C3F"/>
    <w:rsid w:val="007F392F"/>
    <w:rsid w:val="007F3AA9"/>
    <w:rsid w:val="007F4CB9"/>
    <w:rsid w:val="007F77A1"/>
    <w:rsid w:val="0081122C"/>
    <w:rsid w:val="008146F8"/>
    <w:rsid w:val="00815432"/>
    <w:rsid w:val="008155DF"/>
    <w:rsid w:val="008176F5"/>
    <w:rsid w:val="00822923"/>
    <w:rsid w:val="0082606C"/>
    <w:rsid w:val="0082744F"/>
    <w:rsid w:val="00827B0A"/>
    <w:rsid w:val="008308E2"/>
    <w:rsid w:val="00831510"/>
    <w:rsid w:val="00836686"/>
    <w:rsid w:val="0084359F"/>
    <w:rsid w:val="008440E9"/>
    <w:rsid w:val="00844630"/>
    <w:rsid w:val="008526DE"/>
    <w:rsid w:val="00857C0B"/>
    <w:rsid w:val="008675E9"/>
    <w:rsid w:val="008703B2"/>
    <w:rsid w:val="00872A2C"/>
    <w:rsid w:val="0087367B"/>
    <w:rsid w:val="008749FD"/>
    <w:rsid w:val="00875332"/>
    <w:rsid w:val="00880FBB"/>
    <w:rsid w:val="00881A0C"/>
    <w:rsid w:val="00885AFA"/>
    <w:rsid w:val="00891449"/>
    <w:rsid w:val="008950C0"/>
    <w:rsid w:val="00895B5D"/>
    <w:rsid w:val="00896431"/>
    <w:rsid w:val="008968F9"/>
    <w:rsid w:val="00897D20"/>
    <w:rsid w:val="008A277F"/>
    <w:rsid w:val="008A351D"/>
    <w:rsid w:val="008A3C0A"/>
    <w:rsid w:val="008B29B5"/>
    <w:rsid w:val="008C2B8B"/>
    <w:rsid w:val="008C4AAB"/>
    <w:rsid w:val="008F1734"/>
    <w:rsid w:val="008F31B5"/>
    <w:rsid w:val="008F348D"/>
    <w:rsid w:val="008F4EDB"/>
    <w:rsid w:val="009028B4"/>
    <w:rsid w:val="009037AE"/>
    <w:rsid w:val="0090579E"/>
    <w:rsid w:val="009100D6"/>
    <w:rsid w:val="009118B8"/>
    <w:rsid w:val="0091192D"/>
    <w:rsid w:val="00921CC8"/>
    <w:rsid w:val="00923ADB"/>
    <w:rsid w:val="00935504"/>
    <w:rsid w:val="00940E2A"/>
    <w:rsid w:val="00945861"/>
    <w:rsid w:val="0095009C"/>
    <w:rsid w:val="00950F0C"/>
    <w:rsid w:val="00955192"/>
    <w:rsid w:val="009633C7"/>
    <w:rsid w:val="0096575B"/>
    <w:rsid w:val="00965F6F"/>
    <w:rsid w:val="00980EE6"/>
    <w:rsid w:val="00982437"/>
    <w:rsid w:val="00983573"/>
    <w:rsid w:val="009914DF"/>
    <w:rsid w:val="009A2510"/>
    <w:rsid w:val="009A3886"/>
    <w:rsid w:val="009A5629"/>
    <w:rsid w:val="009B3F45"/>
    <w:rsid w:val="009B5511"/>
    <w:rsid w:val="009C3607"/>
    <w:rsid w:val="009C47AD"/>
    <w:rsid w:val="009D1610"/>
    <w:rsid w:val="009D1C04"/>
    <w:rsid w:val="009D7000"/>
    <w:rsid w:val="009E0818"/>
    <w:rsid w:val="009E7252"/>
    <w:rsid w:val="00A01780"/>
    <w:rsid w:val="00A03B90"/>
    <w:rsid w:val="00A10D06"/>
    <w:rsid w:val="00A10E63"/>
    <w:rsid w:val="00A16115"/>
    <w:rsid w:val="00A236E5"/>
    <w:rsid w:val="00A3320C"/>
    <w:rsid w:val="00A333B0"/>
    <w:rsid w:val="00A35A31"/>
    <w:rsid w:val="00A424CC"/>
    <w:rsid w:val="00A43C4D"/>
    <w:rsid w:val="00A54567"/>
    <w:rsid w:val="00A6271C"/>
    <w:rsid w:val="00A633AF"/>
    <w:rsid w:val="00A637AC"/>
    <w:rsid w:val="00A67DEC"/>
    <w:rsid w:val="00A7555F"/>
    <w:rsid w:val="00A777A9"/>
    <w:rsid w:val="00A777CA"/>
    <w:rsid w:val="00A803CB"/>
    <w:rsid w:val="00A857CD"/>
    <w:rsid w:val="00A86FE4"/>
    <w:rsid w:val="00A91D89"/>
    <w:rsid w:val="00A973FB"/>
    <w:rsid w:val="00AA389D"/>
    <w:rsid w:val="00AA4489"/>
    <w:rsid w:val="00AA7353"/>
    <w:rsid w:val="00AA7920"/>
    <w:rsid w:val="00AC481B"/>
    <w:rsid w:val="00AC5C4C"/>
    <w:rsid w:val="00AD00FB"/>
    <w:rsid w:val="00AD34FA"/>
    <w:rsid w:val="00AD4FE6"/>
    <w:rsid w:val="00AE2330"/>
    <w:rsid w:val="00AE426E"/>
    <w:rsid w:val="00AE68A9"/>
    <w:rsid w:val="00AF1C5D"/>
    <w:rsid w:val="00AF4AD7"/>
    <w:rsid w:val="00AF60F4"/>
    <w:rsid w:val="00B029B6"/>
    <w:rsid w:val="00B13124"/>
    <w:rsid w:val="00B15142"/>
    <w:rsid w:val="00B16BFD"/>
    <w:rsid w:val="00B17846"/>
    <w:rsid w:val="00B20D9E"/>
    <w:rsid w:val="00B2162E"/>
    <w:rsid w:val="00B24C97"/>
    <w:rsid w:val="00B26F4D"/>
    <w:rsid w:val="00B34D5F"/>
    <w:rsid w:val="00B35384"/>
    <w:rsid w:val="00B358D4"/>
    <w:rsid w:val="00B3602E"/>
    <w:rsid w:val="00B45B5C"/>
    <w:rsid w:val="00B46471"/>
    <w:rsid w:val="00B50660"/>
    <w:rsid w:val="00B51009"/>
    <w:rsid w:val="00B6022F"/>
    <w:rsid w:val="00B602CB"/>
    <w:rsid w:val="00B60CFE"/>
    <w:rsid w:val="00B624B8"/>
    <w:rsid w:val="00B641C5"/>
    <w:rsid w:val="00B6515A"/>
    <w:rsid w:val="00B65AC0"/>
    <w:rsid w:val="00B7657D"/>
    <w:rsid w:val="00B77BB2"/>
    <w:rsid w:val="00B8028C"/>
    <w:rsid w:val="00B804BB"/>
    <w:rsid w:val="00B81F03"/>
    <w:rsid w:val="00B85E03"/>
    <w:rsid w:val="00B872B0"/>
    <w:rsid w:val="00BA530E"/>
    <w:rsid w:val="00BA5BBE"/>
    <w:rsid w:val="00BA6036"/>
    <w:rsid w:val="00BA7FD7"/>
    <w:rsid w:val="00BB0E1F"/>
    <w:rsid w:val="00BB3BBC"/>
    <w:rsid w:val="00BB666E"/>
    <w:rsid w:val="00BC7895"/>
    <w:rsid w:val="00BD2CE0"/>
    <w:rsid w:val="00BD4B13"/>
    <w:rsid w:val="00BF0556"/>
    <w:rsid w:val="00BF46B7"/>
    <w:rsid w:val="00BF6106"/>
    <w:rsid w:val="00C0529C"/>
    <w:rsid w:val="00C05DBD"/>
    <w:rsid w:val="00C1026F"/>
    <w:rsid w:val="00C12DEB"/>
    <w:rsid w:val="00C12F46"/>
    <w:rsid w:val="00C17091"/>
    <w:rsid w:val="00C23490"/>
    <w:rsid w:val="00C239E7"/>
    <w:rsid w:val="00C26E06"/>
    <w:rsid w:val="00C32FCE"/>
    <w:rsid w:val="00C35C42"/>
    <w:rsid w:val="00C41900"/>
    <w:rsid w:val="00C41F79"/>
    <w:rsid w:val="00C44302"/>
    <w:rsid w:val="00C4511D"/>
    <w:rsid w:val="00C47E17"/>
    <w:rsid w:val="00C5014F"/>
    <w:rsid w:val="00C50E1A"/>
    <w:rsid w:val="00C54EF6"/>
    <w:rsid w:val="00C55367"/>
    <w:rsid w:val="00C64C67"/>
    <w:rsid w:val="00C7238F"/>
    <w:rsid w:val="00C75486"/>
    <w:rsid w:val="00C82AC0"/>
    <w:rsid w:val="00C83A43"/>
    <w:rsid w:val="00C87732"/>
    <w:rsid w:val="00C93B58"/>
    <w:rsid w:val="00C97B1D"/>
    <w:rsid w:val="00CA2C92"/>
    <w:rsid w:val="00CA4F7B"/>
    <w:rsid w:val="00CA583A"/>
    <w:rsid w:val="00CA7458"/>
    <w:rsid w:val="00CB497B"/>
    <w:rsid w:val="00CC243E"/>
    <w:rsid w:val="00CC607F"/>
    <w:rsid w:val="00CC6FD8"/>
    <w:rsid w:val="00CD5B86"/>
    <w:rsid w:val="00CE0E4D"/>
    <w:rsid w:val="00CE171B"/>
    <w:rsid w:val="00CF2246"/>
    <w:rsid w:val="00CF2FB6"/>
    <w:rsid w:val="00D137C0"/>
    <w:rsid w:val="00D14C09"/>
    <w:rsid w:val="00D15E16"/>
    <w:rsid w:val="00D167A1"/>
    <w:rsid w:val="00D21511"/>
    <w:rsid w:val="00D2381E"/>
    <w:rsid w:val="00D341DC"/>
    <w:rsid w:val="00D34F50"/>
    <w:rsid w:val="00D35E82"/>
    <w:rsid w:val="00D373BE"/>
    <w:rsid w:val="00D45048"/>
    <w:rsid w:val="00D45209"/>
    <w:rsid w:val="00D4527C"/>
    <w:rsid w:val="00D4691B"/>
    <w:rsid w:val="00D50A3F"/>
    <w:rsid w:val="00D54CF3"/>
    <w:rsid w:val="00D5624C"/>
    <w:rsid w:val="00D56727"/>
    <w:rsid w:val="00D607BD"/>
    <w:rsid w:val="00D64163"/>
    <w:rsid w:val="00D67FC3"/>
    <w:rsid w:val="00D802AF"/>
    <w:rsid w:val="00D80DD8"/>
    <w:rsid w:val="00D81017"/>
    <w:rsid w:val="00D92756"/>
    <w:rsid w:val="00D92B39"/>
    <w:rsid w:val="00D93466"/>
    <w:rsid w:val="00DA1FD9"/>
    <w:rsid w:val="00DA27F7"/>
    <w:rsid w:val="00DA611F"/>
    <w:rsid w:val="00DC440B"/>
    <w:rsid w:val="00DC5F98"/>
    <w:rsid w:val="00DC6386"/>
    <w:rsid w:val="00DC7D2C"/>
    <w:rsid w:val="00DD3C8E"/>
    <w:rsid w:val="00DE4A95"/>
    <w:rsid w:val="00DF0AF1"/>
    <w:rsid w:val="00DF22C2"/>
    <w:rsid w:val="00DF5472"/>
    <w:rsid w:val="00DF62A6"/>
    <w:rsid w:val="00E00B63"/>
    <w:rsid w:val="00E120E2"/>
    <w:rsid w:val="00E13345"/>
    <w:rsid w:val="00E15E71"/>
    <w:rsid w:val="00E1625C"/>
    <w:rsid w:val="00E2165E"/>
    <w:rsid w:val="00E30C16"/>
    <w:rsid w:val="00E31F59"/>
    <w:rsid w:val="00E32F2B"/>
    <w:rsid w:val="00E333AA"/>
    <w:rsid w:val="00E35785"/>
    <w:rsid w:val="00E50262"/>
    <w:rsid w:val="00E54FC0"/>
    <w:rsid w:val="00E57016"/>
    <w:rsid w:val="00E66B05"/>
    <w:rsid w:val="00E678C0"/>
    <w:rsid w:val="00E73162"/>
    <w:rsid w:val="00E75A1E"/>
    <w:rsid w:val="00E84852"/>
    <w:rsid w:val="00E91D76"/>
    <w:rsid w:val="00E9496F"/>
    <w:rsid w:val="00E95D02"/>
    <w:rsid w:val="00E97287"/>
    <w:rsid w:val="00EA2600"/>
    <w:rsid w:val="00EB0B2A"/>
    <w:rsid w:val="00EB135A"/>
    <w:rsid w:val="00EB13BF"/>
    <w:rsid w:val="00EB13DE"/>
    <w:rsid w:val="00EB1487"/>
    <w:rsid w:val="00EB5A26"/>
    <w:rsid w:val="00EB6503"/>
    <w:rsid w:val="00ED0EB2"/>
    <w:rsid w:val="00ED4214"/>
    <w:rsid w:val="00EE29F1"/>
    <w:rsid w:val="00F0096B"/>
    <w:rsid w:val="00F00EE7"/>
    <w:rsid w:val="00F01C65"/>
    <w:rsid w:val="00F12103"/>
    <w:rsid w:val="00F123A2"/>
    <w:rsid w:val="00F13AED"/>
    <w:rsid w:val="00F14586"/>
    <w:rsid w:val="00F1628C"/>
    <w:rsid w:val="00F22F5A"/>
    <w:rsid w:val="00F248A9"/>
    <w:rsid w:val="00F32DAE"/>
    <w:rsid w:val="00F35BCD"/>
    <w:rsid w:val="00F45EF5"/>
    <w:rsid w:val="00F53AE8"/>
    <w:rsid w:val="00F6057C"/>
    <w:rsid w:val="00F61123"/>
    <w:rsid w:val="00F62574"/>
    <w:rsid w:val="00F64C5A"/>
    <w:rsid w:val="00F6766D"/>
    <w:rsid w:val="00F67963"/>
    <w:rsid w:val="00F73928"/>
    <w:rsid w:val="00F7669D"/>
    <w:rsid w:val="00F77A7F"/>
    <w:rsid w:val="00F823DD"/>
    <w:rsid w:val="00F82EB2"/>
    <w:rsid w:val="00F84D2E"/>
    <w:rsid w:val="00F86343"/>
    <w:rsid w:val="00F91608"/>
    <w:rsid w:val="00F929B6"/>
    <w:rsid w:val="00F94C95"/>
    <w:rsid w:val="00F94E22"/>
    <w:rsid w:val="00F95210"/>
    <w:rsid w:val="00F97D44"/>
    <w:rsid w:val="00FA29DD"/>
    <w:rsid w:val="00FA2FA6"/>
    <w:rsid w:val="00FA4652"/>
    <w:rsid w:val="00FA6292"/>
    <w:rsid w:val="00FA7B49"/>
    <w:rsid w:val="00FB1B47"/>
    <w:rsid w:val="00FB2DBB"/>
    <w:rsid w:val="00FB3F7A"/>
    <w:rsid w:val="00FC3D2C"/>
    <w:rsid w:val="00FC6616"/>
    <w:rsid w:val="00FD064B"/>
    <w:rsid w:val="00FD531F"/>
    <w:rsid w:val="00FE090D"/>
    <w:rsid w:val="00FE1184"/>
    <w:rsid w:val="00FE2098"/>
    <w:rsid w:val="00FE53E1"/>
    <w:rsid w:val="00FF5C2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6CAAE"/>
  <w15:docId w15:val="{228217B8-93AC-491E-A7CD-916AF8186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A93"/>
  </w:style>
  <w:style w:type="paragraph" w:styleId="Heading1">
    <w:name w:val="heading 1"/>
    <w:basedOn w:val="Normal"/>
    <w:next w:val="Normal"/>
    <w:link w:val="Heading1Char"/>
    <w:uiPriority w:val="9"/>
    <w:qFormat/>
    <w:rsid w:val="00F73928"/>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6503"/>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B6503"/>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B6503"/>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6503"/>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6503"/>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6503"/>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6503"/>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customStyle="1" w:styleId="LightShading-Accent11">
    <w:name w:val="Light Shading - Accent 1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3F3C20"/>
    <w:pPr>
      <w:spacing w:after="100"/>
      <w:ind w:left="22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customStyle="1" w:styleId="LightList-Accent11">
    <w:name w:val="Light List - Accent 1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2808AB"/>
  </w:style>
  <w:style w:type="character" w:customStyle="1" w:styleId="Heading3Char">
    <w:name w:val="Heading 3 Char"/>
    <w:basedOn w:val="DefaultParagraphFont"/>
    <w:link w:val="Heading3"/>
    <w:uiPriority w:val="9"/>
    <w:rsid w:val="00EB650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B65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B650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650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650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650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650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82AC0"/>
    <w:pPr>
      <w:spacing w:line="240" w:lineRule="auto"/>
    </w:pPr>
    <w:rPr>
      <w:b/>
      <w:bCs/>
      <w:color w:val="4F81BD" w:themeColor="accent1"/>
      <w:sz w:val="18"/>
      <w:szCs w:val="18"/>
    </w:rPr>
  </w:style>
  <w:style w:type="paragraph" w:styleId="TOC3">
    <w:name w:val="toc 3"/>
    <w:basedOn w:val="Normal"/>
    <w:next w:val="Normal"/>
    <w:autoRedefine/>
    <w:uiPriority w:val="39"/>
    <w:unhideWhenUsed/>
    <w:rsid w:val="003F2391"/>
    <w:pPr>
      <w:spacing w:after="100"/>
      <w:ind w:left="440"/>
    </w:pPr>
  </w:style>
  <w:style w:type="paragraph" w:styleId="NormalWeb">
    <w:name w:val="Normal (Web)"/>
    <w:basedOn w:val="Normal"/>
    <w:uiPriority w:val="99"/>
    <w:semiHidden/>
    <w:unhideWhenUsed/>
    <w:rsid w:val="006822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tml-slice">
    <w:name w:val="html-slice"/>
    <w:basedOn w:val="Normal"/>
    <w:rsid w:val="0068220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MediumShading1-Accent3">
    <w:name w:val="Medium Shading 1 Accent 3"/>
    <w:basedOn w:val="TableNormal"/>
    <w:uiPriority w:val="63"/>
    <w:rsid w:val="00E1625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1625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53307A"/>
    <w:rPr>
      <w:sz w:val="16"/>
      <w:szCs w:val="16"/>
    </w:rPr>
  </w:style>
  <w:style w:type="paragraph" w:styleId="CommentText">
    <w:name w:val="annotation text"/>
    <w:basedOn w:val="Normal"/>
    <w:link w:val="CommentTextChar"/>
    <w:uiPriority w:val="99"/>
    <w:semiHidden/>
    <w:unhideWhenUsed/>
    <w:rsid w:val="0053307A"/>
    <w:pPr>
      <w:spacing w:line="240" w:lineRule="auto"/>
    </w:pPr>
    <w:rPr>
      <w:sz w:val="20"/>
      <w:szCs w:val="20"/>
    </w:rPr>
  </w:style>
  <w:style w:type="character" w:customStyle="1" w:styleId="CommentTextChar">
    <w:name w:val="Comment Text Char"/>
    <w:basedOn w:val="DefaultParagraphFont"/>
    <w:link w:val="CommentText"/>
    <w:uiPriority w:val="99"/>
    <w:semiHidden/>
    <w:rsid w:val="0053307A"/>
    <w:rPr>
      <w:sz w:val="20"/>
      <w:szCs w:val="20"/>
    </w:rPr>
  </w:style>
  <w:style w:type="paragraph" w:styleId="CommentSubject">
    <w:name w:val="annotation subject"/>
    <w:basedOn w:val="CommentText"/>
    <w:next w:val="CommentText"/>
    <w:link w:val="CommentSubjectChar"/>
    <w:uiPriority w:val="99"/>
    <w:semiHidden/>
    <w:unhideWhenUsed/>
    <w:rsid w:val="0053307A"/>
    <w:rPr>
      <w:b/>
      <w:bCs/>
    </w:rPr>
  </w:style>
  <w:style w:type="character" w:customStyle="1" w:styleId="CommentSubjectChar">
    <w:name w:val="Comment Subject Char"/>
    <w:basedOn w:val="CommentTextChar"/>
    <w:link w:val="CommentSubject"/>
    <w:uiPriority w:val="99"/>
    <w:semiHidden/>
    <w:rsid w:val="0053307A"/>
    <w:rPr>
      <w:b/>
      <w:bCs/>
      <w:sz w:val="20"/>
      <w:szCs w:val="20"/>
    </w:rPr>
  </w:style>
  <w:style w:type="character" w:customStyle="1" w:styleId="italic">
    <w:name w:val="italic"/>
    <w:basedOn w:val="DefaultParagraphFont"/>
    <w:rsid w:val="00AF4AD7"/>
  </w:style>
  <w:style w:type="character" w:customStyle="1" w:styleId="A0">
    <w:name w:val="A0"/>
    <w:uiPriority w:val="99"/>
    <w:rsid w:val="00003F27"/>
    <w:rPr>
      <w:rFonts w:cs="Univers LT Std 45 Light"/>
      <w:b/>
      <w:bCs/>
      <w:color w:val="000000"/>
      <w:sz w:val="18"/>
      <w:szCs w:val="18"/>
    </w:rPr>
  </w:style>
  <w:style w:type="character" w:customStyle="1" w:styleId="A2">
    <w:name w:val="A2"/>
    <w:uiPriority w:val="99"/>
    <w:rsid w:val="00D35E82"/>
    <w:rPr>
      <w:rFonts w:cs="Univers LT Std 45 Light"/>
      <w:color w:val="000000"/>
      <w:sz w:val="14"/>
      <w:szCs w:val="14"/>
    </w:rPr>
  </w:style>
  <w:style w:type="table" w:styleId="LightGrid">
    <w:name w:val="Light Grid"/>
    <w:basedOn w:val="TableNormal"/>
    <w:uiPriority w:val="62"/>
    <w:rsid w:val="000A13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rsid w:val="000A139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3B5BE4"/>
    <w:rPr>
      <w:color w:val="808080"/>
    </w:rPr>
  </w:style>
  <w:style w:type="paragraph" w:customStyle="1" w:styleId="Default">
    <w:name w:val="Default"/>
    <w:rsid w:val="002E2584"/>
    <w:pPr>
      <w:autoSpaceDE w:val="0"/>
      <w:autoSpaceDN w:val="0"/>
      <w:adjustRightInd w:val="0"/>
      <w:spacing w:after="0" w:line="240" w:lineRule="auto"/>
    </w:pPr>
    <w:rPr>
      <w:rFonts w:ascii="EC Square Sans Cond Pro" w:hAnsi="EC Square Sans Cond Pro" w:cs="EC Square Sans Cond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25848">
      <w:bodyDiv w:val="1"/>
      <w:marLeft w:val="0"/>
      <w:marRight w:val="0"/>
      <w:marTop w:val="0"/>
      <w:marBottom w:val="0"/>
      <w:divBdr>
        <w:top w:val="none" w:sz="0" w:space="0" w:color="auto"/>
        <w:left w:val="none" w:sz="0" w:space="0" w:color="auto"/>
        <w:bottom w:val="none" w:sz="0" w:space="0" w:color="auto"/>
        <w:right w:val="none" w:sz="0" w:space="0" w:color="auto"/>
      </w:divBdr>
    </w:div>
    <w:div w:id="158817907">
      <w:bodyDiv w:val="1"/>
      <w:marLeft w:val="0"/>
      <w:marRight w:val="0"/>
      <w:marTop w:val="0"/>
      <w:marBottom w:val="0"/>
      <w:divBdr>
        <w:top w:val="none" w:sz="0" w:space="0" w:color="auto"/>
        <w:left w:val="none" w:sz="0" w:space="0" w:color="auto"/>
        <w:bottom w:val="none" w:sz="0" w:space="0" w:color="auto"/>
        <w:right w:val="none" w:sz="0" w:space="0" w:color="auto"/>
      </w:divBdr>
      <w:divsChild>
        <w:div w:id="1413552162">
          <w:marLeft w:val="1166"/>
          <w:marRight w:val="0"/>
          <w:marTop w:val="134"/>
          <w:marBottom w:val="0"/>
          <w:divBdr>
            <w:top w:val="none" w:sz="0" w:space="0" w:color="auto"/>
            <w:left w:val="none" w:sz="0" w:space="0" w:color="auto"/>
            <w:bottom w:val="none" w:sz="0" w:space="0" w:color="auto"/>
            <w:right w:val="none" w:sz="0" w:space="0" w:color="auto"/>
          </w:divBdr>
        </w:div>
        <w:div w:id="458383147">
          <w:marLeft w:val="1166"/>
          <w:marRight w:val="0"/>
          <w:marTop w:val="134"/>
          <w:marBottom w:val="0"/>
          <w:divBdr>
            <w:top w:val="none" w:sz="0" w:space="0" w:color="auto"/>
            <w:left w:val="none" w:sz="0" w:space="0" w:color="auto"/>
            <w:bottom w:val="none" w:sz="0" w:space="0" w:color="auto"/>
            <w:right w:val="none" w:sz="0" w:space="0" w:color="auto"/>
          </w:divBdr>
        </w:div>
        <w:div w:id="1330791054">
          <w:marLeft w:val="1166"/>
          <w:marRight w:val="0"/>
          <w:marTop w:val="134"/>
          <w:marBottom w:val="0"/>
          <w:divBdr>
            <w:top w:val="none" w:sz="0" w:space="0" w:color="auto"/>
            <w:left w:val="none" w:sz="0" w:space="0" w:color="auto"/>
            <w:bottom w:val="none" w:sz="0" w:space="0" w:color="auto"/>
            <w:right w:val="none" w:sz="0" w:space="0" w:color="auto"/>
          </w:divBdr>
        </w:div>
        <w:div w:id="1452475584">
          <w:marLeft w:val="1166"/>
          <w:marRight w:val="0"/>
          <w:marTop w:val="134"/>
          <w:marBottom w:val="0"/>
          <w:divBdr>
            <w:top w:val="none" w:sz="0" w:space="0" w:color="auto"/>
            <w:left w:val="none" w:sz="0" w:space="0" w:color="auto"/>
            <w:bottom w:val="none" w:sz="0" w:space="0" w:color="auto"/>
            <w:right w:val="none" w:sz="0" w:space="0" w:color="auto"/>
          </w:divBdr>
        </w:div>
        <w:div w:id="2054620357">
          <w:marLeft w:val="1166"/>
          <w:marRight w:val="0"/>
          <w:marTop w:val="134"/>
          <w:marBottom w:val="0"/>
          <w:divBdr>
            <w:top w:val="none" w:sz="0" w:space="0" w:color="auto"/>
            <w:left w:val="none" w:sz="0" w:space="0" w:color="auto"/>
            <w:bottom w:val="none" w:sz="0" w:space="0" w:color="auto"/>
            <w:right w:val="none" w:sz="0" w:space="0" w:color="auto"/>
          </w:divBdr>
        </w:div>
      </w:divsChild>
    </w:div>
    <w:div w:id="233324245">
      <w:bodyDiv w:val="1"/>
      <w:marLeft w:val="0"/>
      <w:marRight w:val="0"/>
      <w:marTop w:val="0"/>
      <w:marBottom w:val="0"/>
      <w:divBdr>
        <w:top w:val="none" w:sz="0" w:space="0" w:color="auto"/>
        <w:left w:val="none" w:sz="0" w:space="0" w:color="auto"/>
        <w:bottom w:val="none" w:sz="0" w:space="0" w:color="auto"/>
        <w:right w:val="none" w:sz="0" w:space="0" w:color="auto"/>
      </w:divBdr>
    </w:div>
    <w:div w:id="340856149">
      <w:bodyDiv w:val="1"/>
      <w:marLeft w:val="0"/>
      <w:marRight w:val="0"/>
      <w:marTop w:val="0"/>
      <w:marBottom w:val="0"/>
      <w:divBdr>
        <w:top w:val="none" w:sz="0" w:space="0" w:color="auto"/>
        <w:left w:val="none" w:sz="0" w:space="0" w:color="auto"/>
        <w:bottom w:val="none" w:sz="0" w:space="0" w:color="auto"/>
        <w:right w:val="none" w:sz="0" w:space="0" w:color="auto"/>
      </w:divBdr>
      <w:divsChild>
        <w:div w:id="492767149">
          <w:marLeft w:val="547"/>
          <w:marRight w:val="0"/>
          <w:marTop w:val="144"/>
          <w:marBottom w:val="0"/>
          <w:divBdr>
            <w:top w:val="none" w:sz="0" w:space="0" w:color="auto"/>
            <w:left w:val="none" w:sz="0" w:space="0" w:color="auto"/>
            <w:bottom w:val="none" w:sz="0" w:space="0" w:color="auto"/>
            <w:right w:val="none" w:sz="0" w:space="0" w:color="auto"/>
          </w:divBdr>
        </w:div>
      </w:divsChild>
    </w:div>
    <w:div w:id="411389163">
      <w:bodyDiv w:val="1"/>
      <w:marLeft w:val="0"/>
      <w:marRight w:val="0"/>
      <w:marTop w:val="0"/>
      <w:marBottom w:val="0"/>
      <w:divBdr>
        <w:top w:val="none" w:sz="0" w:space="0" w:color="auto"/>
        <w:left w:val="none" w:sz="0" w:space="0" w:color="auto"/>
        <w:bottom w:val="none" w:sz="0" w:space="0" w:color="auto"/>
        <w:right w:val="none" w:sz="0" w:space="0" w:color="auto"/>
      </w:divBdr>
    </w:div>
    <w:div w:id="520163015">
      <w:bodyDiv w:val="1"/>
      <w:marLeft w:val="0"/>
      <w:marRight w:val="0"/>
      <w:marTop w:val="0"/>
      <w:marBottom w:val="0"/>
      <w:divBdr>
        <w:top w:val="none" w:sz="0" w:space="0" w:color="auto"/>
        <w:left w:val="none" w:sz="0" w:space="0" w:color="auto"/>
        <w:bottom w:val="none" w:sz="0" w:space="0" w:color="auto"/>
        <w:right w:val="none" w:sz="0" w:space="0" w:color="auto"/>
      </w:divBdr>
      <w:divsChild>
        <w:div w:id="1450662002">
          <w:marLeft w:val="547"/>
          <w:marRight w:val="0"/>
          <w:marTop w:val="154"/>
          <w:marBottom w:val="0"/>
          <w:divBdr>
            <w:top w:val="none" w:sz="0" w:space="0" w:color="auto"/>
            <w:left w:val="none" w:sz="0" w:space="0" w:color="auto"/>
            <w:bottom w:val="none" w:sz="0" w:space="0" w:color="auto"/>
            <w:right w:val="none" w:sz="0" w:space="0" w:color="auto"/>
          </w:divBdr>
        </w:div>
      </w:divsChild>
    </w:div>
    <w:div w:id="572159275">
      <w:bodyDiv w:val="1"/>
      <w:marLeft w:val="0"/>
      <w:marRight w:val="0"/>
      <w:marTop w:val="0"/>
      <w:marBottom w:val="0"/>
      <w:divBdr>
        <w:top w:val="none" w:sz="0" w:space="0" w:color="auto"/>
        <w:left w:val="none" w:sz="0" w:space="0" w:color="auto"/>
        <w:bottom w:val="none" w:sz="0" w:space="0" w:color="auto"/>
        <w:right w:val="none" w:sz="0" w:space="0" w:color="auto"/>
      </w:divBdr>
    </w:div>
    <w:div w:id="746416633">
      <w:bodyDiv w:val="1"/>
      <w:marLeft w:val="0"/>
      <w:marRight w:val="0"/>
      <w:marTop w:val="0"/>
      <w:marBottom w:val="0"/>
      <w:divBdr>
        <w:top w:val="none" w:sz="0" w:space="0" w:color="auto"/>
        <w:left w:val="none" w:sz="0" w:space="0" w:color="auto"/>
        <w:bottom w:val="none" w:sz="0" w:space="0" w:color="auto"/>
        <w:right w:val="none" w:sz="0" w:space="0" w:color="auto"/>
      </w:divBdr>
      <w:divsChild>
        <w:div w:id="1335300014">
          <w:marLeft w:val="547"/>
          <w:marRight w:val="0"/>
          <w:marTop w:val="0"/>
          <w:marBottom w:val="0"/>
          <w:divBdr>
            <w:top w:val="none" w:sz="0" w:space="0" w:color="auto"/>
            <w:left w:val="none" w:sz="0" w:space="0" w:color="auto"/>
            <w:bottom w:val="none" w:sz="0" w:space="0" w:color="auto"/>
            <w:right w:val="none" w:sz="0" w:space="0" w:color="auto"/>
          </w:divBdr>
        </w:div>
        <w:div w:id="1973712687">
          <w:marLeft w:val="547"/>
          <w:marRight w:val="0"/>
          <w:marTop w:val="0"/>
          <w:marBottom w:val="0"/>
          <w:divBdr>
            <w:top w:val="none" w:sz="0" w:space="0" w:color="auto"/>
            <w:left w:val="none" w:sz="0" w:space="0" w:color="auto"/>
            <w:bottom w:val="none" w:sz="0" w:space="0" w:color="auto"/>
            <w:right w:val="none" w:sz="0" w:space="0" w:color="auto"/>
          </w:divBdr>
        </w:div>
        <w:div w:id="736441025">
          <w:marLeft w:val="547"/>
          <w:marRight w:val="0"/>
          <w:marTop w:val="0"/>
          <w:marBottom w:val="0"/>
          <w:divBdr>
            <w:top w:val="none" w:sz="0" w:space="0" w:color="auto"/>
            <w:left w:val="none" w:sz="0" w:space="0" w:color="auto"/>
            <w:bottom w:val="none" w:sz="0" w:space="0" w:color="auto"/>
            <w:right w:val="none" w:sz="0" w:space="0" w:color="auto"/>
          </w:divBdr>
        </w:div>
        <w:div w:id="988558910">
          <w:marLeft w:val="547"/>
          <w:marRight w:val="0"/>
          <w:marTop w:val="0"/>
          <w:marBottom w:val="0"/>
          <w:divBdr>
            <w:top w:val="none" w:sz="0" w:space="0" w:color="auto"/>
            <w:left w:val="none" w:sz="0" w:space="0" w:color="auto"/>
            <w:bottom w:val="none" w:sz="0" w:space="0" w:color="auto"/>
            <w:right w:val="none" w:sz="0" w:space="0" w:color="auto"/>
          </w:divBdr>
        </w:div>
        <w:div w:id="2097095622">
          <w:marLeft w:val="547"/>
          <w:marRight w:val="0"/>
          <w:marTop w:val="0"/>
          <w:marBottom w:val="0"/>
          <w:divBdr>
            <w:top w:val="none" w:sz="0" w:space="0" w:color="auto"/>
            <w:left w:val="none" w:sz="0" w:space="0" w:color="auto"/>
            <w:bottom w:val="none" w:sz="0" w:space="0" w:color="auto"/>
            <w:right w:val="none" w:sz="0" w:space="0" w:color="auto"/>
          </w:divBdr>
        </w:div>
        <w:div w:id="1891963659">
          <w:marLeft w:val="547"/>
          <w:marRight w:val="0"/>
          <w:marTop w:val="0"/>
          <w:marBottom w:val="0"/>
          <w:divBdr>
            <w:top w:val="none" w:sz="0" w:space="0" w:color="auto"/>
            <w:left w:val="none" w:sz="0" w:space="0" w:color="auto"/>
            <w:bottom w:val="none" w:sz="0" w:space="0" w:color="auto"/>
            <w:right w:val="none" w:sz="0" w:space="0" w:color="auto"/>
          </w:divBdr>
        </w:div>
      </w:divsChild>
    </w:div>
    <w:div w:id="793256918">
      <w:bodyDiv w:val="1"/>
      <w:marLeft w:val="0"/>
      <w:marRight w:val="0"/>
      <w:marTop w:val="0"/>
      <w:marBottom w:val="0"/>
      <w:divBdr>
        <w:top w:val="none" w:sz="0" w:space="0" w:color="auto"/>
        <w:left w:val="none" w:sz="0" w:space="0" w:color="auto"/>
        <w:bottom w:val="none" w:sz="0" w:space="0" w:color="auto"/>
        <w:right w:val="none" w:sz="0" w:space="0" w:color="auto"/>
      </w:divBdr>
    </w:div>
    <w:div w:id="888877884">
      <w:bodyDiv w:val="1"/>
      <w:marLeft w:val="0"/>
      <w:marRight w:val="0"/>
      <w:marTop w:val="0"/>
      <w:marBottom w:val="0"/>
      <w:divBdr>
        <w:top w:val="none" w:sz="0" w:space="0" w:color="auto"/>
        <w:left w:val="none" w:sz="0" w:space="0" w:color="auto"/>
        <w:bottom w:val="none" w:sz="0" w:space="0" w:color="auto"/>
        <w:right w:val="none" w:sz="0" w:space="0" w:color="auto"/>
      </w:divBdr>
    </w:div>
    <w:div w:id="916480250">
      <w:bodyDiv w:val="1"/>
      <w:marLeft w:val="0"/>
      <w:marRight w:val="0"/>
      <w:marTop w:val="0"/>
      <w:marBottom w:val="0"/>
      <w:divBdr>
        <w:top w:val="none" w:sz="0" w:space="0" w:color="auto"/>
        <w:left w:val="none" w:sz="0" w:space="0" w:color="auto"/>
        <w:bottom w:val="none" w:sz="0" w:space="0" w:color="auto"/>
        <w:right w:val="none" w:sz="0" w:space="0" w:color="auto"/>
      </w:divBdr>
      <w:divsChild>
        <w:div w:id="57948419">
          <w:marLeft w:val="547"/>
          <w:marRight w:val="0"/>
          <w:marTop w:val="144"/>
          <w:marBottom w:val="0"/>
          <w:divBdr>
            <w:top w:val="none" w:sz="0" w:space="0" w:color="auto"/>
            <w:left w:val="none" w:sz="0" w:space="0" w:color="auto"/>
            <w:bottom w:val="none" w:sz="0" w:space="0" w:color="auto"/>
            <w:right w:val="none" w:sz="0" w:space="0" w:color="auto"/>
          </w:divBdr>
        </w:div>
      </w:divsChild>
    </w:div>
    <w:div w:id="1079210814">
      <w:bodyDiv w:val="1"/>
      <w:marLeft w:val="0"/>
      <w:marRight w:val="0"/>
      <w:marTop w:val="0"/>
      <w:marBottom w:val="0"/>
      <w:divBdr>
        <w:top w:val="none" w:sz="0" w:space="0" w:color="auto"/>
        <w:left w:val="none" w:sz="0" w:space="0" w:color="auto"/>
        <w:bottom w:val="none" w:sz="0" w:space="0" w:color="auto"/>
        <w:right w:val="none" w:sz="0" w:space="0" w:color="auto"/>
      </w:divBdr>
    </w:div>
    <w:div w:id="1083837171">
      <w:bodyDiv w:val="1"/>
      <w:marLeft w:val="0"/>
      <w:marRight w:val="0"/>
      <w:marTop w:val="0"/>
      <w:marBottom w:val="0"/>
      <w:divBdr>
        <w:top w:val="none" w:sz="0" w:space="0" w:color="auto"/>
        <w:left w:val="none" w:sz="0" w:space="0" w:color="auto"/>
        <w:bottom w:val="none" w:sz="0" w:space="0" w:color="auto"/>
        <w:right w:val="none" w:sz="0" w:space="0" w:color="auto"/>
      </w:divBdr>
    </w:div>
    <w:div w:id="1116365321">
      <w:bodyDiv w:val="1"/>
      <w:marLeft w:val="0"/>
      <w:marRight w:val="0"/>
      <w:marTop w:val="0"/>
      <w:marBottom w:val="0"/>
      <w:divBdr>
        <w:top w:val="none" w:sz="0" w:space="0" w:color="auto"/>
        <w:left w:val="none" w:sz="0" w:space="0" w:color="auto"/>
        <w:bottom w:val="none" w:sz="0" w:space="0" w:color="auto"/>
        <w:right w:val="none" w:sz="0" w:space="0" w:color="auto"/>
      </w:divBdr>
      <w:divsChild>
        <w:div w:id="1544059354">
          <w:marLeft w:val="547"/>
          <w:marRight w:val="0"/>
          <w:marTop w:val="154"/>
          <w:marBottom w:val="0"/>
          <w:divBdr>
            <w:top w:val="none" w:sz="0" w:space="0" w:color="auto"/>
            <w:left w:val="none" w:sz="0" w:space="0" w:color="auto"/>
            <w:bottom w:val="none" w:sz="0" w:space="0" w:color="auto"/>
            <w:right w:val="none" w:sz="0" w:space="0" w:color="auto"/>
          </w:divBdr>
        </w:div>
      </w:divsChild>
    </w:div>
    <w:div w:id="1272860237">
      <w:bodyDiv w:val="1"/>
      <w:marLeft w:val="0"/>
      <w:marRight w:val="0"/>
      <w:marTop w:val="0"/>
      <w:marBottom w:val="0"/>
      <w:divBdr>
        <w:top w:val="none" w:sz="0" w:space="0" w:color="auto"/>
        <w:left w:val="none" w:sz="0" w:space="0" w:color="auto"/>
        <w:bottom w:val="none" w:sz="0" w:space="0" w:color="auto"/>
        <w:right w:val="none" w:sz="0" w:space="0" w:color="auto"/>
      </w:divBdr>
    </w:div>
    <w:div w:id="1287464164">
      <w:bodyDiv w:val="1"/>
      <w:marLeft w:val="0"/>
      <w:marRight w:val="0"/>
      <w:marTop w:val="0"/>
      <w:marBottom w:val="0"/>
      <w:divBdr>
        <w:top w:val="none" w:sz="0" w:space="0" w:color="auto"/>
        <w:left w:val="none" w:sz="0" w:space="0" w:color="auto"/>
        <w:bottom w:val="none" w:sz="0" w:space="0" w:color="auto"/>
        <w:right w:val="none" w:sz="0" w:space="0" w:color="auto"/>
      </w:divBdr>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 w:id="1437367786">
      <w:bodyDiv w:val="1"/>
      <w:marLeft w:val="0"/>
      <w:marRight w:val="0"/>
      <w:marTop w:val="0"/>
      <w:marBottom w:val="0"/>
      <w:divBdr>
        <w:top w:val="none" w:sz="0" w:space="0" w:color="auto"/>
        <w:left w:val="none" w:sz="0" w:space="0" w:color="auto"/>
        <w:bottom w:val="none" w:sz="0" w:space="0" w:color="auto"/>
        <w:right w:val="none" w:sz="0" w:space="0" w:color="auto"/>
      </w:divBdr>
    </w:div>
    <w:div w:id="1551527325">
      <w:bodyDiv w:val="1"/>
      <w:marLeft w:val="0"/>
      <w:marRight w:val="0"/>
      <w:marTop w:val="0"/>
      <w:marBottom w:val="0"/>
      <w:divBdr>
        <w:top w:val="none" w:sz="0" w:space="0" w:color="auto"/>
        <w:left w:val="none" w:sz="0" w:space="0" w:color="auto"/>
        <w:bottom w:val="none" w:sz="0" w:space="0" w:color="auto"/>
        <w:right w:val="none" w:sz="0" w:space="0" w:color="auto"/>
      </w:divBdr>
      <w:divsChild>
        <w:div w:id="1550065458">
          <w:marLeft w:val="547"/>
          <w:marRight w:val="0"/>
          <w:marTop w:val="144"/>
          <w:marBottom w:val="0"/>
          <w:divBdr>
            <w:top w:val="none" w:sz="0" w:space="0" w:color="auto"/>
            <w:left w:val="none" w:sz="0" w:space="0" w:color="auto"/>
            <w:bottom w:val="none" w:sz="0" w:space="0" w:color="auto"/>
            <w:right w:val="none" w:sz="0" w:space="0" w:color="auto"/>
          </w:divBdr>
        </w:div>
      </w:divsChild>
    </w:div>
    <w:div w:id="1917783990">
      <w:bodyDiv w:val="1"/>
      <w:marLeft w:val="0"/>
      <w:marRight w:val="0"/>
      <w:marTop w:val="0"/>
      <w:marBottom w:val="0"/>
      <w:divBdr>
        <w:top w:val="none" w:sz="0" w:space="0" w:color="auto"/>
        <w:left w:val="none" w:sz="0" w:space="0" w:color="auto"/>
        <w:bottom w:val="none" w:sz="0" w:space="0" w:color="auto"/>
        <w:right w:val="none" w:sz="0" w:space="0" w:color="auto"/>
      </w:divBdr>
      <w:divsChild>
        <w:div w:id="1366953715">
          <w:marLeft w:val="0"/>
          <w:marRight w:val="0"/>
          <w:marTop w:val="0"/>
          <w:marBottom w:val="0"/>
          <w:divBdr>
            <w:top w:val="none" w:sz="0" w:space="0" w:color="auto"/>
            <w:left w:val="none" w:sz="0" w:space="0" w:color="auto"/>
            <w:bottom w:val="none" w:sz="0" w:space="0" w:color="auto"/>
            <w:right w:val="none" w:sz="0" w:space="0" w:color="auto"/>
          </w:divBdr>
        </w:div>
        <w:div w:id="401025513">
          <w:marLeft w:val="0"/>
          <w:marRight w:val="0"/>
          <w:marTop w:val="0"/>
          <w:marBottom w:val="0"/>
          <w:divBdr>
            <w:top w:val="none" w:sz="0" w:space="0" w:color="auto"/>
            <w:left w:val="none" w:sz="0" w:space="0" w:color="auto"/>
            <w:bottom w:val="none" w:sz="0" w:space="0" w:color="auto"/>
            <w:right w:val="none" w:sz="0" w:space="0" w:color="auto"/>
          </w:divBdr>
        </w:div>
      </w:divsChild>
    </w:div>
    <w:div w:id="1969238132">
      <w:bodyDiv w:val="1"/>
      <w:marLeft w:val="0"/>
      <w:marRight w:val="0"/>
      <w:marTop w:val="0"/>
      <w:marBottom w:val="0"/>
      <w:divBdr>
        <w:top w:val="none" w:sz="0" w:space="0" w:color="auto"/>
        <w:left w:val="none" w:sz="0" w:space="0" w:color="auto"/>
        <w:bottom w:val="none" w:sz="0" w:space="0" w:color="auto"/>
        <w:right w:val="none" w:sz="0" w:space="0" w:color="auto"/>
      </w:divBdr>
      <w:divsChild>
        <w:div w:id="717322558">
          <w:marLeft w:val="1267"/>
          <w:marRight w:val="0"/>
          <w:marTop w:val="0"/>
          <w:marBottom w:val="0"/>
          <w:divBdr>
            <w:top w:val="none" w:sz="0" w:space="0" w:color="auto"/>
            <w:left w:val="none" w:sz="0" w:space="0" w:color="auto"/>
            <w:bottom w:val="none" w:sz="0" w:space="0" w:color="auto"/>
            <w:right w:val="none" w:sz="0" w:space="0" w:color="auto"/>
          </w:divBdr>
        </w:div>
        <w:div w:id="1232427039">
          <w:marLeft w:val="1267"/>
          <w:marRight w:val="0"/>
          <w:marTop w:val="0"/>
          <w:marBottom w:val="0"/>
          <w:divBdr>
            <w:top w:val="none" w:sz="0" w:space="0" w:color="auto"/>
            <w:left w:val="none" w:sz="0" w:space="0" w:color="auto"/>
            <w:bottom w:val="none" w:sz="0" w:space="0" w:color="auto"/>
            <w:right w:val="none" w:sz="0" w:space="0" w:color="auto"/>
          </w:divBdr>
        </w:div>
        <w:div w:id="1418357638">
          <w:marLeft w:val="1267"/>
          <w:marRight w:val="0"/>
          <w:marTop w:val="0"/>
          <w:marBottom w:val="0"/>
          <w:divBdr>
            <w:top w:val="none" w:sz="0" w:space="0" w:color="auto"/>
            <w:left w:val="none" w:sz="0" w:space="0" w:color="auto"/>
            <w:bottom w:val="none" w:sz="0" w:space="0" w:color="auto"/>
            <w:right w:val="none" w:sz="0" w:space="0" w:color="auto"/>
          </w:divBdr>
        </w:div>
        <w:div w:id="886138920">
          <w:marLeft w:val="1267"/>
          <w:marRight w:val="0"/>
          <w:marTop w:val="0"/>
          <w:marBottom w:val="0"/>
          <w:divBdr>
            <w:top w:val="none" w:sz="0" w:space="0" w:color="auto"/>
            <w:left w:val="none" w:sz="0" w:space="0" w:color="auto"/>
            <w:bottom w:val="none" w:sz="0" w:space="0" w:color="auto"/>
            <w:right w:val="none" w:sz="0" w:space="0" w:color="auto"/>
          </w:divBdr>
        </w:div>
      </w:divsChild>
    </w:div>
    <w:div w:id="2023126012">
      <w:bodyDiv w:val="1"/>
      <w:marLeft w:val="0"/>
      <w:marRight w:val="0"/>
      <w:marTop w:val="0"/>
      <w:marBottom w:val="0"/>
      <w:divBdr>
        <w:top w:val="none" w:sz="0" w:space="0" w:color="auto"/>
        <w:left w:val="none" w:sz="0" w:space="0" w:color="auto"/>
        <w:bottom w:val="none" w:sz="0" w:space="0" w:color="auto"/>
        <w:right w:val="none" w:sz="0" w:space="0" w:color="auto"/>
      </w:divBdr>
    </w:div>
    <w:div w:id="2132245517">
      <w:bodyDiv w:val="1"/>
      <w:marLeft w:val="0"/>
      <w:marRight w:val="0"/>
      <w:marTop w:val="0"/>
      <w:marBottom w:val="0"/>
      <w:divBdr>
        <w:top w:val="none" w:sz="0" w:space="0" w:color="auto"/>
        <w:left w:val="none" w:sz="0" w:space="0" w:color="auto"/>
        <w:bottom w:val="none" w:sz="0" w:space="0" w:color="auto"/>
        <w:right w:val="none" w:sz="0" w:space="0" w:color="auto"/>
      </w:divBdr>
      <w:divsChild>
        <w:div w:id="1005861982">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lications.europa.eu/en/publication-detail/-/publication/ff6b4d45-ec36-11e6-ad7c-01aa75ed71a1/language-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regional_policy/sources/docgener/evaluation/guide/evaluation_sourcebook.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ec.europa.eu/eurostat/documents/3859598/8071770/KS-GQ-17-007-EN-N.pdf/7d34c904-2d07-4e71-bd6f-8fe9ee373b60" TargetMode="Externa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ec.europa.eu/eurostat/documents/3859598/5937481/KS-GQ-14-011-EN.PDF/82855e3b-bb6e-498a-a177-07e7884e9bc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europa.eu/en/publication-detail/-/publication/ff6b4d45-ec36-11e6-ad7c-01aa75ed71a1/language-en" TargetMode="External"/><Relationship Id="rId1" Type="http://schemas.openxmlformats.org/officeDocument/2006/relationships/hyperlink" Target="https://ec.europa.eu/eurostat/documents/3859598/8071770/KS-GQ-17-007-EN-N.pdf/7d34c904-2d07-4e71-bd6f-8fe9ee373b6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2015</c:v>
                </c:pt>
              </c:strCache>
            </c:strRef>
          </c:tx>
          <c:invertIfNegative val="0"/>
          <c:cat>
            <c:strRef>
              <c:f>Sheet1!$A$2:$A$9</c:f>
              <c:strCache>
                <c:ptCount val="8"/>
                <c:pt idx="0">
                  <c:v>15-24</c:v>
                </c:pt>
                <c:pt idx="1">
                  <c:v>25-29</c:v>
                </c:pt>
                <c:pt idx="2">
                  <c:v>30-34</c:v>
                </c:pt>
                <c:pt idx="3">
                  <c:v>35-39</c:v>
                </c:pt>
                <c:pt idx="4">
                  <c:v>40-44</c:v>
                </c:pt>
                <c:pt idx="5">
                  <c:v>45-49</c:v>
                </c:pt>
                <c:pt idx="6">
                  <c:v>50-54</c:v>
                </c:pt>
                <c:pt idx="7">
                  <c:v>55+</c:v>
                </c:pt>
              </c:strCache>
            </c:strRef>
          </c:cat>
          <c:val>
            <c:numRef>
              <c:f>Sheet1!$B$2:$B$9</c:f>
              <c:numCache>
                <c:formatCode>General</c:formatCode>
                <c:ptCount val="8"/>
                <c:pt idx="0">
                  <c:v>227160</c:v>
                </c:pt>
                <c:pt idx="1">
                  <c:v>240265</c:v>
                </c:pt>
                <c:pt idx="2">
                  <c:v>226394</c:v>
                </c:pt>
                <c:pt idx="3">
                  <c:v>218916</c:v>
                </c:pt>
                <c:pt idx="4">
                  <c:v>186908</c:v>
                </c:pt>
                <c:pt idx="5">
                  <c:v>143182</c:v>
                </c:pt>
                <c:pt idx="6">
                  <c:v>79643</c:v>
                </c:pt>
                <c:pt idx="7">
                  <c:v>75562</c:v>
                </c:pt>
              </c:numCache>
            </c:numRef>
          </c:val>
          <c:extLst>
            <c:ext xmlns:c16="http://schemas.microsoft.com/office/drawing/2014/chart" uri="{C3380CC4-5D6E-409C-BE32-E72D297353CC}">
              <c16:uniqueId val="{00000000-B485-46C1-ABB3-1D32B9FE4588}"/>
            </c:ext>
          </c:extLst>
        </c:ser>
        <c:ser>
          <c:idx val="1"/>
          <c:order val="1"/>
          <c:tx>
            <c:strRef>
              <c:f>Sheet1!$C$1</c:f>
              <c:strCache>
                <c:ptCount val="1"/>
                <c:pt idx="0">
                  <c:v>2016</c:v>
                </c:pt>
              </c:strCache>
            </c:strRef>
          </c:tx>
          <c:invertIfNegative val="0"/>
          <c:cat>
            <c:strRef>
              <c:f>Sheet1!$A$2:$A$9</c:f>
              <c:strCache>
                <c:ptCount val="8"/>
                <c:pt idx="0">
                  <c:v>15-24</c:v>
                </c:pt>
                <c:pt idx="1">
                  <c:v>25-29</c:v>
                </c:pt>
                <c:pt idx="2">
                  <c:v>30-34</c:v>
                </c:pt>
                <c:pt idx="3">
                  <c:v>35-39</c:v>
                </c:pt>
                <c:pt idx="4">
                  <c:v>40-44</c:v>
                </c:pt>
                <c:pt idx="5">
                  <c:v>45-49</c:v>
                </c:pt>
                <c:pt idx="6">
                  <c:v>50-54</c:v>
                </c:pt>
                <c:pt idx="7">
                  <c:v>55+</c:v>
                </c:pt>
              </c:strCache>
            </c:strRef>
          </c:cat>
          <c:val>
            <c:numRef>
              <c:f>Sheet1!$C$2:$C$9</c:f>
              <c:numCache>
                <c:formatCode>General</c:formatCode>
                <c:ptCount val="8"/>
                <c:pt idx="0">
                  <c:v>234415</c:v>
                </c:pt>
                <c:pt idx="1">
                  <c:v>239252</c:v>
                </c:pt>
                <c:pt idx="2">
                  <c:v>210600</c:v>
                </c:pt>
                <c:pt idx="3">
                  <c:v>206488</c:v>
                </c:pt>
                <c:pt idx="4">
                  <c:v>183641</c:v>
                </c:pt>
                <c:pt idx="5">
                  <c:v>144761</c:v>
                </c:pt>
                <c:pt idx="6">
                  <c:v>95942</c:v>
                </c:pt>
                <c:pt idx="7">
                  <c:v>91541</c:v>
                </c:pt>
              </c:numCache>
            </c:numRef>
          </c:val>
          <c:extLst>
            <c:ext xmlns:c16="http://schemas.microsoft.com/office/drawing/2014/chart" uri="{C3380CC4-5D6E-409C-BE32-E72D297353CC}">
              <c16:uniqueId val="{00000001-B485-46C1-ABB3-1D32B9FE4588}"/>
            </c:ext>
          </c:extLst>
        </c:ser>
        <c:ser>
          <c:idx val="2"/>
          <c:order val="2"/>
          <c:tx>
            <c:strRef>
              <c:f>Sheet1!$D$1</c:f>
              <c:strCache>
                <c:ptCount val="1"/>
                <c:pt idx="0">
                  <c:v>2017</c:v>
                </c:pt>
              </c:strCache>
            </c:strRef>
          </c:tx>
          <c:invertIfNegative val="0"/>
          <c:cat>
            <c:strRef>
              <c:f>Sheet1!$A$2:$A$9</c:f>
              <c:strCache>
                <c:ptCount val="8"/>
                <c:pt idx="0">
                  <c:v>15-24</c:v>
                </c:pt>
                <c:pt idx="1">
                  <c:v>25-29</c:v>
                </c:pt>
                <c:pt idx="2">
                  <c:v>30-34</c:v>
                </c:pt>
                <c:pt idx="3">
                  <c:v>35-39</c:v>
                </c:pt>
                <c:pt idx="4">
                  <c:v>40-44</c:v>
                </c:pt>
                <c:pt idx="5">
                  <c:v>45-49</c:v>
                </c:pt>
                <c:pt idx="6">
                  <c:v>50-54</c:v>
                </c:pt>
                <c:pt idx="7">
                  <c:v>55+</c:v>
                </c:pt>
              </c:strCache>
            </c:strRef>
          </c:cat>
          <c:val>
            <c:numRef>
              <c:f>Sheet1!$D$2:$D$9</c:f>
              <c:numCache>
                <c:formatCode>General</c:formatCode>
                <c:ptCount val="8"/>
                <c:pt idx="0">
                  <c:v>251823</c:v>
                </c:pt>
                <c:pt idx="1">
                  <c:v>239560</c:v>
                </c:pt>
                <c:pt idx="2">
                  <c:v>226490</c:v>
                </c:pt>
                <c:pt idx="3">
                  <c:v>226464</c:v>
                </c:pt>
                <c:pt idx="4">
                  <c:v>184807</c:v>
                </c:pt>
                <c:pt idx="5">
                  <c:v>156068</c:v>
                </c:pt>
                <c:pt idx="6">
                  <c:v>101842</c:v>
                </c:pt>
                <c:pt idx="7">
                  <c:v>97419</c:v>
                </c:pt>
              </c:numCache>
            </c:numRef>
          </c:val>
          <c:extLst>
            <c:ext xmlns:c16="http://schemas.microsoft.com/office/drawing/2014/chart" uri="{C3380CC4-5D6E-409C-BE32-E72D297353CC}">
              <c16:uniqueId val="{00000002-B485-46C1-ABB3-1D32B9FE4588}"/>
            </c:ext>
          </c:extLst>
        </c:ser>
        <c:dLbls>
          <c:showLegendKey val="0"/>
          <c:showVal val="0"/>
          <c:showCatName val="0"/>
          <c:showSerName val="0"/>
          <c:showPercent val="0"/>
          <c:showBubbleSize val="0"/>
        </c:dLbls>
        <c:gapWidth val="150"/>
        <c:axId val="344437120"/>
        <c:axId val="383285504"/>
      </c:barChart>
      <c:catAx>
        <c:axId val="344437120"/>
        <c:scaling>
          <c:orientation val="minMax"/>
        </c:scaling>
        <c:delete val="0"/>
        <c:axPos val="b"/>
        <c:numFmt formatCode="General" sourceLinked="0"/>
        <c:majorTickMark val="out"/>
        <c:minorTickMark val="none"/>
        <c:tickLblPos val="nextTo"/>
        <c:txPr>
          <a:bodyPr/>
          <a:lstStyle/>
          <a:p>
            <a:pPr>
              <a:defRPr lang="ar-JO"/>
            </a:pPr>
            <a:endParaRPr lang="en-US"/>
          </a:p>
        </c:txPr>
        <c:crossAx val="383285504"/>
        <c:crosses val="autoZero"/>
        <c:auto val="1"/>
        <c:lblAlgn val="ctr"/>
        <c:lblOffset val="100"/>
        <c:noMultiLvlLbl val="0"/>
      </c:catAx>
      <c:valAx>
        <c:axId val="383285504"/>
        <c:scaling>
          <c:orientation val="minMax"/>
        </c:scaling>
        <c:delete val="0"/>
        <c:axPos val="l"/>
        <c:majorGridlines/>
        <c:numFmt formatCode="General" sourceLinked="1"/>
        <c:majorTickMark val="out"/>
        <c:minorTickMark val="none"/>
        <c:tickLblPos val="nextTo"/>
        <c:txPr>
          <a:bodyPr/>
          <a:lstStyle/>
          <a:p>
            <a:pPr>
              <a:defRPr lang="ar-JO"/>
            </a:pPr>
            <a:endParaRPr lang="en-US"/>
          </a:p>
        </c:txPr>
        <c:crossAx val="344437120"/>
        <c:crosses val="autoZero"/>
        <c:crossBetween val="between"/>
      </c:valAx>
    </c:plotArea>
    <c:legend>
      <c:legendPos val="r"/>
      <c:overlay val="0"/>
      <c:txPr>
        <a:bodyPr/>
        <a:lstStyle/>
        <a:p>
          <a:pPr>
            <a:defRPr lang="ar-JO"/>
          </a:pPr>
          <a:endParaRPr lang="en-US"/>
        </a:p>
      </c:txPr>
    </c:legend>
    <c:plotVisOnly val="1"/>
    <c:dispBlanksAs val="gap"/>
    <c:showDLblsOverMax val="0"/>
  </c:chart>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2015</c:v>
                </c:pt>
              </c:strCache>
            </c:strRef>
          </c:tx>
          <c:invertIfNegative val="0"/>
          <c:cat>
            <c:strRef>
              <c:f>Sheet1!$A$2:$A$6</c:f>
              <c:strCache>
                <c:ptCount val="5"/>
                <c:pt idx="0">
                  <c:v>Illiterate </c:v>
                </c:pt>
                <c:pt idx="1">
                  <c:v>Below Secondary </c:v>
                </c:pt>
                <c:pt idx="2">
                  <c:v>Secondary</c:v>
                </c:pt>
                <c:pt idx="3">
                  <c:v>Diploma</c:v>
                </c:pt>
                <c:pt idx="4">
                  <c:v>Bachelor’s or above</c:v>
                </c:pt>
              </c:strCache>
            </c:strRef>
          </c:cat>
          <c:val>
            <c:numRef>
              <c:f>Sheet1!$B$2:$B$6</c:f>
              <c:numCache>
                <c:formatCode>General</c:formatCode>
                <c:ptCount val="5"/>
                <c:pt idx="0">
                  <c:v>7</c:v>
                </c:pt>
                <c:pt idx="1">
                  <c:v>11.1</c:v>
                </c:pt>
                <c:pt idx="2">
                  <c:v>8.1999999999999993</c:v>
                </c:pt>
                <c:pt idx="3">
                  <c:v>12.6</c:v>
                </c:pt>
                <c:pt idx="4">
                  <c:v>18.600000000000001</c:v>
                </c:pt>
              </c:numCache>
            </c:numRef>
          </c:val>
          <c:extLst>
            <c:ext xmlns:c16="http://schemas.microsoft.com/office/drawing/2014/chart" uri="{C3380CC4-5D6E-409C-BE32-E72D297353CC}">
              <c16:uniqueId val="{00000000-F887-49EF-92AE-AF4BDBECAE80}"/>
            </c:ext>
          </c:extLst>
        </c:ser>
        <c:ser>
          <c:idx val="1"/>
          <c:order val="1"/>
          <c:tx>
            <c:strRef>
              <c:f>Sheet1!$C$1</c:f>
              <c:strCache>
                <c:ptCount val="1"/>
                <c:pt idx="0">
                  <c:v>2016</c:v>
                </c:pt>
              </c:strCache>
            </c:strRef>
          </c:tx>
          <c:invertIfNegative val="0"/>
          <c:cat>
            <c:strRef>
              <c:f>Sheet1!$A$2:$A$6</c:f>
              <c:strCache>
                <c:ptCount val="5"/>
                <c:pt idx="0">
                  <c:v>Illiterate </c:v>
                </c:pt>
                <c:pt idx="1">
                  <c:v>Below Secondary </c:v>
                </c:pt>
                <c:pt idx="2">
                  <c:v>Secondary</c:v>
                </c:pt>
                <c:pt idx="3">
                  <c:v>Diploma</c:v>
                </c:pt>
                <c:pt idx="4">
                  <c:v>Bachelor’s or above</c:v>
                </c:pt>
              </c:strCache>
            </c:strRef>
          </c:cat>
          <c:val>
            <c:numRef>
              <c:f>Sheet1!$C$2:$C$6</c:f>
              <c:numCache>
                <c:formatCode>General</c:formatCode>
                <c:ptCount val="5"/>
                <c:pt idx="0">
                  <c:v>6.6</c:v>
                </c:pt>
                <c:pt idx="1">
                  <c:v>13.8</c:v>
                </c:pt>
                <c:pt idx="2">
                  <c:v>9.4</c:v>
                </c:pt>
                <c:pt idx="3">
                  <c:v>13.4</c:v>
                </c:pt>
                <c:pt idx="4">
                  <c:v>21</c:v>
                </c:pt>
              </c:numCache>
            </c:numRef>
          </c:val>
          <c:extLst>
            <c:ext xmlns:c16="http://schemas.microsoft.com/office/drawing/2014/chart" uri="{C3380CC4-5D6E-409C-BE32-E72D297353CC}">
              <c16:uniqueId val="{00000001-F887-49EF-92AE-AF4BDBECAE80}"/>
            </c:ext>
          </c:extLst>
        </c:ser>
        <c:ser>
          <c:idx val="2"/>
          <c:order val="2"/>
          <c:tx>
            <c:strRef>
              <c:f>Sheet1!$D$1</c:f>
              <c:strCache>
                <c:ptCount val="1"/>
                <c:pt idx="0">
                  <c:v>2017</c:v>
                </c:pt>
              </c:strCache>
            </c:strRef>
          </c:tx>
          <c:invertIfNegative val="0"/>
          <c:cat>
            <c:strRef>
              <c:f>Sheet1!$A$2:$A$6</c:f>
              <c:strCache>
                <c:ptCount val="5"/>
                <c:pt idx="0">
                  <c:v>Illiterate </c:v>
                </c:pt>
                <c:pt idx="1">
                  <c:v>Below Secondary </c:v>
                </c:pt>
                <c:pt idx="2">
                  <c:v>Secondary</c:v>
                </c:pt>
                <c:pt idx="3">
                  <c:v>Diploma</c:v>
                </c:pt>
                <c:pt idx="4">
                  <c:v>Bachelor’s or above</c:v>
                </c:pt>
              </c:strCache>
            </c:strRef>
          </c:cat>
          <c:val>
            <c:numRef>
              <c:f>Sheet1!$D$2:$D$6</c:f>
              <c:numCache>
                <c:formatCode>General</c:formatCode>
                <c:ptCount val="5"/>
                <c:pt idx="0">
                  <c:v>16.100000000000001</c:v>
                </c:pt>
                <c:pt idx="1">
                  <c:v>16.399999999999999</c:v>
                </c:pt>
                <c:pt idx="2">
                  <c:v>12.6</c:v>
                </c:pt>
                <c:pt idx="3">
                  <c:v>17.7</c:v>
                </c:pt>
                <c:pt idx="4">
                  <c:v>23.4</c:v>
                </c:pt>
              </c:numCache>
            </c:numRef>
          </c:val>
          <c:extLst>
            <c:ext xmlns:c16="http://schemas.microsoft.com/office/drawing/2014/chart" uri="{C3380CC4-5D6E-409C-BE32-E72D297353CC}">
              <c16:uniqueId val="{00000002-F887-49EF-92AE-AF4BDBECAE80}"/>
            </c:ext>
          </c:extLst>
        </c:ser>
        <c:dLbls>
          <c:showLegendKey val="0"/>
          <c:showVal val="0"/>
          <c:showCatName val="0"/>
          <c:showSerName val="0"/>
          <c:showPercent val="0"/>
          <c:showBubbleSize val="0"/>
        </c:dLbls>
        <c:gapWidth val="150"/>
        <c:axId val="439828480"/>
        <c:axId val="467964288"/>
      </c:barChart>
      <c:catAx>
        <c:axId val="439828480"/>
        <c:scaling>
          <c:orientation val="minMax"/>
        </c:scaling>
        <c:delete val="0"/>
        <c:axPos val="b"/>
        <c:numFmt formatCode="General" sourceLinked="0"/>
        <c:majorTickMark val="out"/>
        <c:minorTickMark val="none"/>
        <c:tickLblPos val="nextTo"/>
        <c:txPr>
          <a:bodyPr/>
          <a:lstStyle/>
          <a:p>
            <a:pPr>
              <a:defRPr lang="ar-JO"/>
            </a:pPr>
            <a:endParaRPr lang="en-US"/>
          </a:p>
        </c:txPr>
        <c:crossAx val="467964288"/>
        <c:crosses val="autoZero"/>
        <c:auto val="1"/>
        <c:lblAlgn val="ctr"/>
        <c:lblOffset val="100"/>
        <c:noMultiLvlLbl val="0"/>
      </c:catAx>
      <c:valAx>
        <c:axId val="467964288"/>
        <c:scaling>
          <c:orientation val="minMax"/>
        </c:scaling>
        <c:delete val="0"/>
        <c:axPos val="l"/>
        <c:majorGridlines/>
        <c:numFmt formatCode="General" sourceLinked="1"/>
        <c:majorTickMark val="out"/>
        <c:minorTickMark val="none"/>
        <c:tickLblPos val="nextTo"/>
        <c:txPr>
          <a:bodyPr/>
          <a:lstStyle/>
          <a:p>
            <a:pPr>
              <a:defRPr lang="ar-JO"/>
            </a:pPr>
            <a:endParaRPr lang="en-US"/>
          </a:p>
        </c:txPr>
        <c:crossAx val="439828480"/>
        <c:crosses val="autoZero"/>
        <c:crossBetween val="between"/>
      </c:valAx>
    </c:plotArea>
    <c:legend>
      <c:legendPos val="r"/>
      <c:overlay val="0"/>
      <c:txPr>
        <a:bodyPr/>
        <a:lstStyle/>
        <a:p>
          <a:pPr>
            <a:defRPr lang="ar-JO"/>
          </a:pPr>
          <a:endParaRPr lang="en-US"/>
        </a:p>
      </c:txPr>
    </c:legend>
    <c:plotVisOnly val="1"/>
    <c:dispBlanksAs val="gap"/>
    <c:showDLblsOverMax val="0"/>
  </c:chart>
  <c:txPr>
    <a:bodyPr/>
    <a:lstStyle/>
    <a:p>
      <a:pPr>
        <a:defRPr sz="1100" b="1"/>
      </a:pPr>
      <a:endParaRPr lang="en-US"/>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09FDD-0D70-42E0-9411-8B351B9A1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1963</TotalTime>
  <Pages>20</Pages>
  <Words>4557</Words>
  <Characters>25981</Characters>
  <Application>Microsoft Office Word</Application>
  <DocSecurity>0</DocSecurity>
  <Lines>216</Lines>
  <Paragraphs>60</Paragraphs>
  <ScaleCrop>false</ScaleCrop>
  <HeadingPairs>
    <vt:vector size="6" baseType="variant">
      <vt:variant>
        <vt:lpstr>Názov</vt:lpstr>
      </vt:variant>
      <vt:variant>
        <vt:i4>1</vt:i4>
      </vt:variant>
      <vt:variant>
        <vt:lpstr>Title</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30478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43</cp:revision>
  <dcterms:created xsi:type="dcterms:W3CDTF">2019-02-19T06:59:00Z</dcterms:created>
  <dcterms:modified xsi:type="dcterms:W3CDTF">2020-04-16T10:29:00Z</dcterms:modified>
</cp:coreProperties>
</file>